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4E170C">
        <w:rPr>
          <w:rFonts w:ascii="Trebuchet MS" w:hAnsi="Trebuchet MS" w:cs="Times New Roman"/>
        </w:rPr>
        <w:t>.19</w:t>
      </w:r>
      <w:r>
        <w:rPr>
          <w:rFonts w:ascii="Trebuchet MS" w:hAnsi="Trebuchet MS" w:cs="Times New Roman"/>
        </w:rPr>
        <w:t>.2019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A36882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060328" w:rsidRDefault="00C97305" w:rsidP="00FD6E76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561FC1">
        <w:rPr>
          <w:rFonts w:ascii="Trebuchet MS" w:hAnsi="Trebuchet MS"/>
          <w:b/>
          <w:sz w:val="28"/>
          <w:szCs w:val="20"/>
        </w:rPr>
        <w:t xml:space="preserve"> materiałów</w:t>
      </w:r>
      <w:r w:rsidR="008E0B9D">
        <w:rPr>
          <w:rFonts w:ascii="Trebuchet MS" w:hAnsi="Trebuchet MS"/>
          <w:b/>
          <w:sz w:val="28"/>
          <w:szCs w:val="20"/>
        </w:rPr>
        <w:t xml:space="preserve"> biurowych dla</w:t>
      </w:r>
      <w:r w:rsidR="00067D2F" w:rsidRPr="00FD6E76">
        <w:rPr>
          <w:rFonts w:ascii="Trebuchet MS" w:hAnsi="Trebuchet MS"/>
          <w:b/>
          <w:sz w:val="28"/>
          <w:szCs w:val="20"/>
        </w:rPr>
        <w:t xml:space="preserve"> </w:t>
      </w:r>
    </w:p>
    <w:p w:rsidR="00B470E2" w:rsidRPr="00E43462" w:rsidRDefault="00067D2F" w:rsidP="00E43462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>Miejskiego Ośrodka Pomocy Społecznej</w:t>
      </w:r>
      <w:r w:rsidR="007723DD"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Lokalizacja:</w:t>
      </w:r>
    </w:p>
    <w:p w:rsidR="00067D2F" w:rsidRPr="00FD6E76" w:rsidRDefault="006E477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</w:t>
      </w:r>
      <w:r w:rsidR="00927BFD">
        <w:rPr>
          <w:rFonts w:ascii="Trebuchet MS" w:hAnsi="Trebuchet MS"/>
          <w:b/>
          <w:sz w:val="20"/>
          <w:szCs w:val="20"/>
        </w:rPr>
        <w:t>Karola Miarki 11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w Bielsku-Białej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7036D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AD6BDA">
        <w:rPr>
          <w:rFonts w:ascii="Trebuchet MS" w:hAnsi="Trebuchet MS"/>
          <w:sz w:val="20"/>
          <w:szCs w:val="20"/>
        </w:rPr>
        <w:t>, 1 a – cennik (</w:t>
      </w:r>
      <w:r w:rsidR="002008C1">
        <w:rPr>
          <w:rFonts w:ascii="Trebuchet MS" w:hAnsi="Trebuchet MS"/>
          <w:sz w:val="20"/>
          <w:szCs w:val="20"/>
        </w:rPr>
        <w:t xml:space="preserve"> wykaz asortymentowy</w:t>
      </w:r>
      <w:r w:rsidR="00AD6BDA">
        <w:rPr>
          <w:rFonts w:ascii="Trebuchet MS" w:hAnsi="Trebuchet MS"/>
          <w:sz w:val="20"/>
          <w:szCs w:val="20"/>
        </w:rPr>
        <w:t>)</w:t>
      </w:r>
      <w:r w:rsidR="002008C1">
        <w:rPr>
          <w:rFonts w:ascii="Trebuchet MS" w:hAnsi="Trebuchet MS"/>
          <w:sz w:val="20"/>
          <w:szCs w:val="20"/>
        </w:rPr>
        <w:t>.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27748C">
        <w:rPr>
          <w:rFonts w:ascii="Trebuchet MS" w:hAnsi="Trebuchet MS"/>
          <w:sz w:val="20"/>
          <w:szCs w:val="20"/>
        </w:rPr>
        <w:t xml:space="preserve"> – oświadczenie o braku podstaw do wykluczenia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7748C">
        <w:rPr>
          <w:rFonts w:ascii="Trebuchet MS" w:hAnsi="Trebuchet MS"/>
          <w:sz w:val="20"/>
          <w:szCs w:val="20"/>
        </w:rPr>
        <w:t xml:space="preserve"> – opis przedmiotu zamówienia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27748C">
        <w:rPr>
          <w:rFonts w:ascii="Trebuchet MS" w:hAnsi="Trebuchet MS"/>
          <w:sz w:val="20"/>
          <w:szCs w:val="20"/>
        </w:rPr>
        <w:t xml:space="preserve"> projekt umowy</w:t>
      </w: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lastRenderedPageBreak/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r w:rsidRPr="008E0B9D">
        <w:rPr>
          <w:rFonts w:ascii="Trebuchet MS" w:hAnsi="Trebuchet MS"/>
          <w:sz w:val="20"/>
          <w:szCs w:val="20"/>
          <w:lang w:val="en-US"/>
        </w:rPr>
        <w:t>Adres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Pr="008E0B9D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</w:t>
      </w:r>
      <w:r w:rsidR="00406665">
        <w:rPr>
          <w:rFonts w:ascii="Trebuchet MS" w:hAnsi="Trebuchet MS"/>
          <w:sz w:val="20"/>
          <w:szCs w:val="20"/>
        </w:rPr>
        <w:t>004 r., zwanej dalej ustawą Pzp.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zakresie nieuregulowanym niniejszą SIWZ, zastosowanie mają przepisy ustawy Pzp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BE661A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30192000-1 wyroby biurowe, 30190000- 7 różny sprzęt i materiały biurowe 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B4BAA" w:rsidRDefault="003B24E9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97305">
        <w:rPr>
          <w:rFonts w:ascii="Trebuchet MS" w:hAnsi="Trebuchet MS"/>
          <w:sz w:val="20"/>
          <w:szCs w:val="20"/>
        </w:rPr>
        <w:t>dmiotem zamówienia jest zakup</w:t>
      </w:r>
      <w:r w:rsidR="00FB4BAA">
        <w:rPr>
          <w:rFonts w:ascii="Trebuchet MS" w:hAnsi="Trebuchet MS"/>
          <w:sz w:val="20"/>
          <w:szCs w:val="20"/>
        </w:rPr>
        <w:t xml:space="preserve"> artykułów biurowych wraz z dostawą i rozładunkiem przez Wykonawcę w siedzibie Zamawiającego.                                                                         </w:t>
      </w:r>
    </w:p>
    <w:p w:rsidR="00BA0216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</w:t>
      </w:r>
      <w:r w:rsidR="00733563">
        <w:rPr>
          <w:rFonts w:ascii="Trebuchet MS" w:hAnsi="Trebuchet MS"/>
          <w:sz w:val="20"/>
          <w:szCs w:val="20"/>
        </w:rPr>
        <w:t>:</w:t>
      </w:r>
      <w:r w:rsidR="00BA0216">
        <w:rPr>
          <w:rFonts w:ascii="Trebuchet MS" w:hAnsi="Trebuchet MS"/>
          <w:sz w:val="20"/>
          <w:szCs w:val="20"/>
        </w:rPr>
        <w:t xml:space="preserve"> 2.1</w:t>
      </w:r>
      <w:r w:rsidR="006466A8">
        <w:rPr>
          <w:rFonts w:ascii="Trebuchet MS" w:hAnsi="Trebuchet MS"/>
          <w:sz w:val="20"/>
          <w:szCs w:val="20"/>
        </w:rPr>
        <w:t>.Załącznik nr 1do SIWZ</w:t>
      </w:r>
      <w:r w:rsidR="00BA0216">
        <w:rPr>
          <w:rFonts w:ascii="Trebuchet MS" w:hAnsi="Trebuchet MS"/>
          <w:sz w:val="20"/>
          <w:szCs w:val="20"/>
        </w:rPr>
        <w:t xml:space="preserve">, który po wypełnieniu przez Wykonawcę stanowić będzie załącznik do formularza oferty ( cennik). </w:t>
      </w:r>
    </w:p>
    <w:p w:rsidR="00C62867" w:rsidRPr="006466A8" w:rsidRDefault="00BA0216" w:rsidP="00EC3E45">
      <w:p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2.2.Załącznik nr 3 do SIWZ – opis przedmiotu zamówienia i parametrów poszczególnego asortymentu.</w:t>
      </w:r>
      <w:r w:rsidRPr="00BA0216">
        <w:rPr>
          <w:rFonts w:ascii="Trebuchet MS" w:hAnsi="Trebuchet MS"/>
          <w:sz w:val="20"/>
          <w:szCs w:val="20"/>
        </w:rPr>
        <w:t xml:space="preserve">                      </w:t>
      </w:r>
      <w:r>
        <w:rPr>
          <w:rFonts w:ascii="Trebuchet MS" w:hAnsi="Trebuchet MS"/>
          <w:sz w:val="20"/>
          <w:szCs w:val="20"/>
        </w:rPr>
        <w:t xml:space="preserve">                         </w:t>
      </w:r>
      <w:r w:rsidR="00EC3E45">
        <w:rPr>
          <w:rFonts w:ascii="Trebuchet MS" w:hAnsi="Trebuchet MS"/>
          <w:sz w:val="20"/>
          <w:szCs w:val="20"/>
        </w:rPr>
        <w:t xml:space="preserve">  </w:t>
      </w:r>
      <w:r w:rsidRPr="00BA0216">
        <w:rPr>
          <w:rFonts w:ascii="Trebuchet MS" w:hAnsi="Trebuchet MS"/>
          <w:sz w:val="20"/>
          <w:szCs w:val="20"/>
        </w:rPr>
        <w:t xml:space="preserve">         </w:t>
      </w:r>
      <w:r w:rsidR="00EC3E45">
        <w:rPr>
          <w:rFonts w:ascii="Trebuchet MS" w:hAnsi="Trebuchet MS"/>
          <w:sz w:val="20"/>
          <w:szCs w:val="20"/>
        </w:rPr>
        <w:t xml:space="preserve">                  </w:t>
      </w:r>
      <w:r w:rsidR="00EC3E45">
        <w:rPr>
          <w:rFonts w:ascii="Trebuchet MS" w:hAnsi="Trebuchet MS"/>
          <w:sz w:val="20"/>
          <w:szCs w:val="20"/>
        </w:rPr>
        <w:tab/>
        <w:t xml:space="preserve">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określony przez Zamawiającego powinien posiadać cechy artykułu wzorcowego lub równoważnego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Pr="00A91165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 aby wszystkie materiały biurowe 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0277B" w:rsidRPr="00733563" w:rsidRDefault="0003060E" w:rsidP="007335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08539E" w:rsidRPr="00733563" w:rsidRDefault="00EC1A29" w:rsidP="008028BF">
      <w:pPr>
        <w:spacing w:after="0" w:line="276" w:lineRule="auto"/>
        <w:jc w:val="center"/>
        <w:rPr>
          <w:rFonts w:ascii="Trebuchet MS" w:hAnsi="Trebuchet MS"/>
          <w:szCs w:val="20"/>
        </w:rPr>
      </w:pPr>
      <w:r w:rsidRPr="00733563">
        <w:rPr>
          <w:rFonts w:ascii="Trebuchet MS" w:hAnsi="Trebuchet MS"/>
          <w:b/>
          <w:szCs w:val="20"/>
        </w:rPr>
        <w:lastRenderedPageBreak/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Default="00EC1A2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E43462">
        <w:rPr>
          <w:rFonts w:ascii="Trebuchet MS" w:hAnsi="Trebuchet MS"/>
          <w:sz w:val="20"/>
          <w:szCs w:val="20"/>
        </w:rPr>
        <w:t xml:space="preserve">ać w terminie: </w:t>
      </w:r>
      <w:r w:rsidR="004E170C">
        <w:rPr>
          <w:rFonts w:ascii="Trebuchet MS" w:hAnsi="Trebuchet MS"/>
          <w:b/>
          <w:sz w:val="20"/>
          <w:szCs w:val="20"/>
        </w:rPr>
        <w:t>do 15 grudnia</w:t>
      </w:r>
      <w:r w:rsidR="00791DCC">
        <w:rPr>
          <w:rFonts w:ascii="Trebuchet MS" w:hAnsi="Trebuchet MS"/>
          <w:b/>
          <w:sz w:val="20"/>
          <w:szCs w:val="20"/>
        </w:rPr>
        <w:t xml:space="preserve"> </w:t>
      </w:r>
      <w:r w:rsidR="00E43462" w:rsidRPr="00E43462">
        <w:rPr>
          <w:rFonts w:ascii="Trebuchet MS" w:hAnsi="Trebuchet MS"/>
          <w:b/>
          <w:sz w:val="20"/>
          <w:szCs w:val="20"/>
        </w:rPr>
        <w:t>2019 roku.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Pzp.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3A4C9F">
        <w:rPr>
          <w:rFonts w:ascii="Trebuchet MS" w:hAnsi="Trebuchet MS"/>
          <w:sz w:val="20"/>
          <w:szCs w:val="20"/>
        </w:rPr>
        <w:t>z treścią Załącznika nr 2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>owa w art. 86 ust. 5 ustawy Pzp</w:t>
      </w:r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art. 24 ust. 1 pkt 23 ustawy Pzp.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Pzp.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>godnie z art. 26 ust. 2f ustawy Pzp.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Pzp.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nich nie może podlegać wykluczeniu na podstawie art.24 ust. 1 pkt 12-23 ustawy Pzp.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Pzp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lastRenderedPageBreak/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>Magdalena Berdys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Berdys</w:t>
      </w:r>
    </w:p>
    <w:p w:rsidR="001B7F64" w:rsidRDefault="001B7F64" w:rsidP="00733563">
      <w:pPr>
        <w:pStyle w:val="Default"/>
        <w:spacing w:line="276" w:lineRule="auto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Pr="00FD6E76" w:rsidRDefault="00E4137D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dopusz</w:t>
      </w:r>
      <w:r w:rsidR="00FC4AA5">
        <w:rPr>
          <w:rFonts w:ascii="Trebuchet MS" w:hAnsi="Trebuchet MS" w:cs="Lucida Sans Unicode"/>
          <w:sz w:val="20"/>
          <w:szCs w:val="20"/>
        </w:rPr>
        <w:t>cza składania ofert częściowych i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>tekst jednolity Dz. U. z 2018 r. poz. 2188 z późn.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AE2EBF">
        <w:rPr>
          <w:rFonts w:ascii="Trebuchet MS" w:hAnsi="Trebuchet MS" w:cs="Lucida Sans Unicode"/>
          <w:sz w:val="20"/>
          <w:szCs w:val="20"/>
        </w:rPr>
        <w:t>,</w:t>
      </w:r>
      <w:r w:rsidR="00320331">
        <w:rPr>
          <w:rFonts w:ascii="Trebuchet MS" w:hAnsi="Trebuchet MS" w:cs="Lucida Sans Unicode"/>
          <w:sz w:val="20"/>
          <w:szCs w:val="20"/>
        </w:rPr>
        <w:t xml:space="preserve"> Cennika (wykazu asortymentowego) – Zał. nr 1a,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854DC8">
        <w:rPr>
          <w:rFonts w:ascii="Trebuchet MS" w:hAnsi="Trebuchet MS" w:cs="Lucida Sans Unicode"/>
          <w:sz w:val="20"/>
          <w:szCs w:val="20"/>
        </w:rPr>
        <w:t xml:space="preserve"> – Załącznik nr 2</w:t>
      </w:r>
      <w:r w:rsidR="00AE2EBF">
        <w:rPr>
          <w:rFonts w:ascii="Trebuchet MS" w:hAnsi="Trebuchet MS" w:cs="Lucida Sans Unicode"/>
          <w:sz w:val="20"/>
          <w:szCs w:val="20"/>
        </w:rPr>
        <w:t>,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5E658F">
        <w:rPr>
          <w:rFonts w:ascii="Trebuchet MS" w:hAnsi="Trebuchet MS" w:cs="Lucida Sans Unicode"/>
          <w:b/>
          <w:bCs/>
          <w:sz w:val="20"/>
          <w:szCs w:val="20"/>
        </w:rPr>
        <w:t>zakup i dostawę materiałów</w:t>
      </w:r>
      <w:r w:rsidR="00E4137D">
        <w:rPr>
          <w:rFonts w:ascii="Trebuchet MS" w:hAnsi="Trebuchet MS" w:cs="Lucida Sans Unicode"/>
          <w:b/>
          <w:bCs/>
          <w:sz w:val="20"/>
          <w:szCs w:val="20"/>
        </w:rPr>
        <w:t xml:space="preserve"> biurowych dla Miejskiego Ośrodka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 xml:space="preserve">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musi być opakowane i oznaczone tak jak oferta, a koperta dodatkowo musi być oznaczona wyrazem „WYCOFANIE”. Koperta oznakowana wyrazem „WYCOFANIE” będzie otwierana w pierwszej kolejności po stwierdzeniu poprawności </w:t>
      </w:r>
      <w:r w:rsidR="00A24473" w:rsidRPr="00FD6E76">
        <w:rPr>
          <w:rFonts w:ascii="Trebuchet MS" w:hAnsi="Trebuchet MS" w:cs="Lucida Sans Unicode"/>
          <w:sz w:val="20"/>
          <w:szCs w:val="20"/>
        </w:rPr>
        <w:lastRenderedPageBreak/>
        <w:t>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terminie do </w:t>
      </w:r>
      <w:r w:rsidR="00F261B5">
        <w:rPr>
          <w:rFonts w:ascii="Trebuchet MS" w:hAnsi="Trebuchet MS"/>
          <w:b/>
          <w:sz w:val="20"/>
          <w:szCs w:val="20"/>
        </w:rPr>
        <w:t>30</w:t>
      </w:r>
      <w:r w:rsidR="00BE0A14">
        <w:rPr>
          <w:rFonts w:ascii="Trebuchet MS" w:hAnsi="Trebuchet MS"/>
          <w:b/>
          <w:sz w:val="20"/>
          <w:szCs w:val="20"/>
        </w:rPr>
        <w:t xml:space="preserve"> października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="00F261B5">
        <w:rPr>
          <w:rFonts w:ascii="Trebuchet MS" w:hAnsi="Trebuchet MS"/>
          <w:b/>
          <w:sz w:val="20"/>
          <w:szCs w:val="20"/>
        </w:rPr>
        <w:t xml:space="preserve"> roku do godziny 10.30</w:t>
      </w: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F261B5">
        <w:rPr>
          <w:rFonts w:ascii="Trebuchet MS" w:hAnsi="Trebuchet MS"/>
          <w:b/>
          <w:sz w:val="20"/>
          <w:szCs w:val="20"/>
        </w:rPr>
        <w:t>30</w:t>
      </w:r>
      <w:r w:rsidR="00BE0A14">
        <w:rPr>
          <w:rFonts w:ascii="Trebuchet MS" w:hAnsi="Trebuchet MS"/>
          <w:b/>
          <w:sz w:val="20"/>
          <w:szCs w:val="20"/>
        </w:rPr>
        <w:t xml:space="preserve"> października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="00F261B5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DD2BDD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w siedzibie Zamawiającego (III piętro, pokój nr 307).</w:t>
      </w:r>
    </w:p>
    <w:p w:rsidR="001F6213" w:rsidRDefault="001F6213" w:rsidP="00FD6E76">
      <w:pPr>
        <w:pStyle w:val="Default"/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rozładunek w siedzibie </w:t>
      </w:r>
      <w:r w:rsidR="00DD2BDD">
        <w:rPr>
          <w:rFonts w:ascii="Trebuchet MS" w:hAnsi="Trebuchet MS"/>
          <w:sz w:val="20"/>
          <w:szCs w:val="20"/>
        </w:rPr>
        <w:t>Zamawiającego</w:t>
      </w:r>
      <w:r w:rsidR="00E4137D">
        <w:rPr>
          <w:rFonts w:ascii="Trebuchet MS" w:hAnsi="Trebuchet MS"/>
          <w:sz w:val="20"/>
          <w:szCs w:val="20"/>
        </w:rPr>
        <w:t>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 w:rsidR="0073356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F92925" w:rsidRPr="00E4137D" w:rsidRDefault="00E25255" w:rsidP="00E4137D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składając ofertę informuje Zamawiającego czy wybór oferty będzie prowadzić do powstania u Zamawiającego obowiązku podatkowego, wskazując nazwę (rodzaj) usługi lub towaru</w:t>
      </w:r>
      <w:r w:rsidR="00F92925" w:rsidRPr="00FD6E76">
        <w:rPr>
          <w:rFonts w:ascii="Trebuchet MS" w:hAnsi="Trebuchet MS"/>
          <w:sz w:val="20"/>
          <w:szCs w:val="20"/>
        </w:rPr>
        <w:t>, którego</w:t>
      </w:r>
      <w:r w:rsidR="003F555B">
        <w:rPr>
          <w:rFonts w:ascii="Trebuchet MS" w:hAnsi="Trebuchet MS"/>
          <w:sz w:val="20"/>
          <w:szCs w:val="20"/>
        </w:rPr>
        <w:t xml:space="preserve"> dostawa lub świadczenie będzie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F92925" w:rsidRPr="00FD6E76">
        <w:rPr>
          <w:rFonts w:ascii="Trebuchet MS" w:hAnsi="Trebuchet MS"/>
          <w:sz w:val="20"/>
          <w:szCs w:val="20"/>
        </w:rPr>
        <w:t>prowadzić do jego powstania oraz wskazują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BD435D">
      <w:pPr>
        <w:spacing w:after="0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</w:p>
    <w:p w:rsidR="001F6213" w:rsidRP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oferty wraz z podaniem wag tych kryteriów i sposobu oceny ofert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 Cena       </w:t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60 %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40 %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733563" w:rsidRPr="007E14DB" w:rsidRDefault="009C59BE" w:rsidP="007E14DB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DD355D" w:rsidRPr="00DD355D">
        <w:rPr>
          <w:rFonts w:ascii="Trebuchet MS" w:hAnsi="Trebuchet MS"/>
          <w:b/>
          <w:sz w:val="20"/>
          <w:szCs w:val="20"/>
        </w:rPr>
        <w:t>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16DBE" w:rsidRPr="00616DBE" w:rsidRDefault="00EA6CB0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Maksymalny termin przewidziany na dostawę materiałów biurowych wynosi sześć tygodni od dnia podpisania umowy. Jeżeli</w:t>
      </w:r>
      <w:r w:rsidR="00616DBE">
        <w:rPr>
          <w:rFonts w:ascii="Trebuchet MS" w:hAnsi="Trebuchet MS" w:cs="Arial"/>
          <w:sz w:val="20"/>
        </w:rPr>
        <w:t xml:space="preserve"> W</w:t>
      </w:r>
      <w:r>
        <w:rPr>
          <w:rFonts w:ascii="Trebuchet MS" w:hAnsi="Trebuchet MS" w:cs="Arial"/>
          <w:sz w:val="20"/>
        </w:rPr>
        <w:t xml:space="preserve">ykonawca </w:t>
      </w:r>
      <w:r w:rsidR="00733563">
        <w:rPr>
          <w:rFonts w:ascii="Trebuchet MS" w:hAnsi="Trebuchet MS" w:cs="Arial"/>
          <w:sz w:val="20"/>
        </w:rPr>
        <w:t>zadeklaruje</w:t>
      </w:r>
      <w:r w:rsidR="00616DBE">
        <w:rPr>
          <w:rFonts w:ascii="Trebuchet MS" w:hAnsi="Trebuchet MS" w:cs="Arial"/>
          <w:sz w:val="20"/>
        </w:rPr>
        <w:t xml:space="preserve"> dostawę w krótszym terminie, będzie ona pun</w:t>
      </w:r>
      <w:r w:rsidR="001B34B7">
        <w:rPr>
          <w:rFonts w:ascii="Trebuchet MS" w:hAnsi="Trebuchet MS" w:cs="Arial"/>
          <w:sz w:val="20"/>
        </w:rPr>
        <w:t xml:space="preserve">ktowana w następujący sposób: </w:t>
      </w:r>
      <w:r w:rsidR="00616DBE"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 w:rsidR="00616DBE"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1B34B7">
        <w:rPr>
          <w:rFonts w:ascii="Trebuchet MS" w:hAnsi="Trebuchet MS"/>
          <w:sz w:val="20"/>
          <w:szCs w:val="20"/>
        </w:rPr>
        <w:t>sześć</w:t>
      </w:r>
      <w:r w:rsidR="00733563">
        <w:rPr>
          <w:rFonts w:ascii="Trebuchet MS" w:hAnsi="Trebuchet MS"/>
          <w:sz w:val="20"/>
          <w:szCs w:val="20"/>
        </w:rPr>
        <w:t xml:space="preserve"> tygodni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  <w:t xml:space="preserve">  </w:t>
      </w:r>
      <w:r w:rsidR="00CB772E">
        <w:rPr>
          <w:rFonts w:ascii="Trebuchet MS" w:hAnsi="Trebuchet MS"/>
          <w:sz w:val="20"/>
          <w:szCs w:val="20"/>
        </w:rPr>
        <w:t xml:space="preserve">0 </w:t>
      </w:r>
      <w:r>
        <w:rPr>
          <w:rFonts w:ascii="Trebuchet MS" w:hAnsi="Trebuchet MS"/>
          <w:sz w:val="20"/>
          <w:szCs w:val="20"/>
        </w:rPr>
        <w:t xml:space="preserve">  punktów                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33563">
        <w:rPr>
          <w:rFonts w:ascii="Trebuchet MS" w:hAnsi="Trebuchet MS"/>
          <w:sz w:val="20"/>
          <w:szCs w:val="20"/>
        </w:rPr>
        <w:t xml:space="preserve">pięć </w:t>
      </w:r>
      <w:r w:rsidR="001B34B7">
        <w:rPr>
          <w:rFonts w:ascii="Trebuchet MS" w:hAnsi="Trebuchet MS"/>
          <w:sz w:val="20"/>
          <w:szCs w:val="20"/>
        </w:rPr>
        <w:t>tygodni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1B34B7">
        <w:rPr>
          <w:rFonts w:ascii="Trebuchet MS" w:hAnsi="Trebuchet MS"/>
          <w:sz w:val="20"/>
          <w:szCs w:val="20"/>
        </w:rPr>
        <w:t>1</w:t>
      </w:r>
      <w:r w:rsidR="004E170C">
        <w:rPr>
          <w:rFonts w:ascii="Trebuchet MS" w:hAnsi="Trebuchet MS"/>
          <w:sz w:val="20"/>
          <w:szCs w:val="20"/>
        </w:rPr>
        <w:t>0   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CB772E">
        <w:rPr>
          <w:rFonts w:ascii="Trebuchet MS" w:hAnsi="Trebuchet MS"/>
          <w:sz w:val="20"/>
          <w:szCs w:val="20"/>
        </w:rPr>
        <w:t xml:space="preserve">  cztery</w:t>
      </w:r>
      <w:r>
        <w:rPr>
          <w:rFonts w:ascii="Trebuchet MS" w:hAnsi="Trebuchet MS"/>
          <w:sz w:val="20"/>
          <w:szCs w:val="20"/>
        </w:rPr>
        <w:t xml:space="preserve"> tyg</w:t>
      </w:r>
      <w:r w:rsidR="00733563">
        <w:rPr>
          <w:rFonts w:ascii="Trebuchet MS" w:hAnsi="Trebuchet MS"/>
          <w:sz w:val="20"/>
          <w:szCs w:val="20"/>
        </w:rPr>
        <w:t>odnie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B772E">
        <w:rPr>
          <w:rFonts w:ascii="Trebuchet MS" w:hAnsi="Trebuchet MS"/>
          <w:sz w:val="20"/>
          <w:szCs w:val="20"/>
        </w:rPr>
        <w:t>20</w:t>
      </w:r>
      <w:r>
        <w:rPr>
          <w:rFonts w:ascii="Trebuchet MS" w:hAnsi="Trebuchet MS"/>
          <w:sz w:val="20"/>
          <w:szCs w:val="20"/>
        </w:rPr>
        <w:t xml:space="preserve">   punktów</w:t>
      </w:r>
      <w:r w:rsidR="004E170C">
        <w:rPr>
          <w:rFonts w:ascii="Trebuchet MS" w:hAnsi="Trebuchet MS"/>
          <w:sz w:val="20"/>
          <w:szCs w:val="20"/>
        </w:rPr>
        <w:t xml:space="preserve"> </w:t>
      </w:r>
    </w:p>
    <w:p w:rsidR="004E170C" w:rsidRDefault="00CB772E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trzy</w:t>
      </w:r>
      <w:r w:rsidR="004E170C">
        <w:rPr>
          <w:rFonts w:ascii="Trebuchet MS" w:hAnsi="Trebuchet MS"/>
          <w:sz w:val="20"/>
          <w:szCs w:val="20"/>
        </w:rPr>
        <w:t xml:space="preserve"> tyg</w:t>
      </w:r>
      <w:r w:rsidR="00733563">
        <w:rPr>
          <w:rFonts w:ascii="Trebuchet MS" w:hAnsi="Trebuchet MS"/>
          <w:sz w:val="20"/>
          <w:szCs w:val="20"/>
        </w:rPr>
        <w:t>odnie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1B34B7">
        <w:rPr>
          <w:rFonts w:ascii="Trebuchet MS" w:hAnsi="Trebuchet MS"/>
          <w:sz w:val="20"/>
          <w:szCs w:val="20"/>
        </w:rPr>
        <w:t>3</w:t>
      </w:r>
      <w:r w:rsidR="004E170C">
        <w:rPr>
          <w:rFonts w:ascii="Trebuchet MS" w:hAnsi="Trebuchet MS"/>
          <w:sz w:val="20"/>
          <w:szCs w:val="20"/>
        </w:rPr>
        <w:t>0   punktów</w:t>
      </w:r>
      <w:r w:rsidR="001B34B7">
        <w:rPr>
          <w:rFonts w:ascii="Trebuchet MS" w:hAnsi="Trebuchet MS"/>
          <w:sz w:val="20"/>
          <w:szCs w:val="20"/>
        </w:rPr>
        <w:t xml:space="preserve"> </w:t>
      </w:r>
    </w:p>
    <w:p w:rsidR="001B34B7" w:rsidRDefault="001B34B7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33563">
        <w:rPr>
          <w:rFonts w:ascii="Trebuchet MS" w:hAnsi="Trebuchet MS"/>
          <w:sz w:val="20"/>
          <w:szCs w:val="20"/>
        </w:rPr>
        <w:t>dwa tygodnie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 xml:space="preserve">40   punktów  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AE572F" w:rsidRDefault="004E170C" w:rsidP="00B510C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B510CD">
        <w:rPr>
          <w:rFonts w:ascii="Trebuchet MS" w:hAnsi="Trebuchet MS"/>
          <w:b/>
          <w:sz w:val="20"/>
          <w:szCs w:val="20"/>
        </w:rPr>
        <w:t>T</w:t>
      </w:r>
      <w:r w:rsidR="00854DC8">
        <w:rPr>
          <w:rFonts w:ascii="Trebuchet MS" w:hAnsi="Trebuchet MS"/>
          <w:b/>
          <w:sz w:val="20"/>
          <w:szCs w:val="20"/>
        </w:rPr>
        <w:t>ermin dostawy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AD0B7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Zamawiający powołując się na art. 24aa ust. 1 ustawy Pzp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696E12" w:rsidRPr="008F00FC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D61B34">
        <w:rPr>
          <w:rFonts w:ascii="Trebuchet MS" w:hAnsi="Trebuchet MS"/>
          <w:sz w:val="20"/>
          <w:szCs w:val="20"/>
        </w:rPr>
        <w:t>nik nr 4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972BC3" w:rsidRPr="004C4219" w:rsidRDefault="00972BC3" w:rsidP="00696E12">
      <w:pPr>
        <w:spacing w:after="0"/>
        <w:jc w:val="center"/>
        <w:rPr>
          <w:rFonts w:ascii="Trebuchet MS" w:hAnsi="Trebuchet MS"/>
          <w:b/>
        </w:rPr>
      </w:pP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powiadomi o wyborze najkorzystniejszej oferty wszystkich Wykonawców, którzy złożyli oferty oraz udostępni informacje, o których mowa w art. 92 ust. 1 pkt. 1 ustawy Pzp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4C4219" w:rsidRDefault="004C4219" w:rsidP="00905BF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XVIII  -  </w:t>
      </w:r>
      <w:r w:rsidR="00DB765E" w:rsidRPr="004C4219">
        <w:rPr>
          <w:rFonts w:ascii="Trebuchet MS" w:hAnsi="Trebuchet MS"/>
          <w:b/>
        </w:rPr>
        <w:t>Możliwości zmiany postanowień zawartej umowy</w:t>
      </w:r>
    </w:p>
    <w:p w:rsidR="00DB765E" w:rsidRPr="00397297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765E" w:rsidRPr="008F00FC" w:rsidRDefault="00E418CC" w:rsidP="00181422">
      <w:pPr>
        <w:tabs>
          <w:tab w:val="left" w:pos="0"/>
        </w:tabs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przewiduje zmiany postanowień umowy.</w:t>
      </w: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E418CC" w:rsidRDefault="00E418CC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bookmarkStart w:id="0" w:name="_GoBack"/>
      <w:bookmarkEnd w:id="0"/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320331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72BC3" w:rsidRDefault="00972BC3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72BC3" w:rsidRPr="008F00FC" w:rsidRDefault="00972BC3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20331" w:rsidRPr="00320331" w:rsidRDefault="00320331" w:rsidP="00320331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br/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lastRenderedPageBreak/>
        <w:t>w Bielsku-Białej przy ul. Karola Miarki 11</w:t>
      </w: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before="3"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   </w:t>
      </w: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33 49 95 600 – Centrala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 e-mail: sekretariat</w:t>
      </w:r>
      <w:hyperlink r:id="rId7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  <w:lang w:val="en-US"/>
          </w:rPr>
          <w:t>@mops.bielsko.pl</w:t>
        </w:r>
      </w:hyperlink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korespondencyjnego:</w:t>
      </w: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686017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320331" w:rsidRPr="003F3F1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20331" w:rsidRPr="003F3F1A" w:rsidRDefault="00320331" w:rsidP="00320331">
      <w:pPr>
        <w:widowControl w:val="0"/>
        <w:autoSpaceDE w:val="0"/>
        <w:autoSpaceDN w:val="0"/>
        <w:spacing w:before="3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320331" w:rsidRPr="0020500E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320331" w:rsidRPr="00686017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20331" w:rsidRPr="007313F2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Urzędu Ochrony Danych Osobowych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20331" w:rsidRPr="00891F3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320331" w:rsidRPr="007313F2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</w:t>
      </w:r>
      <w:r w:rsidR="00972BC3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 RODO prawo do usunięcia danych </w:t>
      </w: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osobowych,</w:t>
      </w:r>
    </w:p>
    <w:p w:rsidR="00320331" w:rsidRPr="00E17296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E17296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320331" w:rsidRPr="005379F9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70AC7" w:rsidRDefault="00370AC7" w:rsidP="00972BC3">
      <w:pPr>
        <w:rPr>
          <w:rFonts w:ascii="Trebuchet MS" w:hAnsi="Trebuchet MS"/>
          <w:b/>
        </w:rPr>
      </w:pP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</w:t>
      </w:r>
      <w:r>
        <w:rPr>
          <w:rFonts w:ascii="Trebuchet MS" w:hAnsi="Trebuchet MS"/>
          <w:sz w:val="20"/>
          <w:szCs w:val="20"/>
        </w:rPr>
        <w:t>emnej lub w postaci elektronicznej, podpisane bezpiecznym podpisem elektronicznym weryfikowanym przy pomocy ważnego kwalifikowanego certyfikatu lub równoważnego środka, spełniającego wymagania dla tego rodzaju podpisu.</w:t>
      </w:r>
      <w:r w:rsidRPr="00940D07">
        <w:rPr>
          <w:rFonts w:ascii="Trebuchet MS" w:hAnsi="Trebuchet MS"/>
          <w:sz w:val="20"/>
          <w:szCs w:val="20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</w:t>
      </w:r>
      <w:r>
        <w:rPr>
          <w:rFonts w:ascii="Trebuchet MS" w:hAnsi="Trebuchet MS"/>
          <w:sz w:val="20"/>
          <w:szCs w:val="20"/>
        </w:rPr>
        <w:t>rminu do jego wniesienia przy użyciu środków komunikacji elektronicznej.</w:t>
      </w:r>
    </w:p>
    <w:p w:rsidR="00397297" w:rsidRPr="00DE70E8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 w:rsidRPr="008E0B9D">
        <w:rPr>
          <w:rFonts w:ascii="Trebuchet MS" w:hAnsi="Trebuchet MS"/>
          <w:sz w:val="20"/>
          <w:szCs w:val="20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terminie 5 dni od dnia przesłania informacji o czynności Zamawiającego stanowiącej podstawę jego wniesienia – jeżeli zostały przesłane w sposób określony w art. 180 ust. 5 zdanie drugie albo w terminie 10 dni – jeżeli zostały przesłane w inny sposób – w przypadku gdy wartość zamówienia jest mniejsza niż kwoty określone w przepisach wydanych na podstawie art. 11 ust. 8.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lastRenderedPageBreak/>
        <w:t>W przypadku wniesienia odwołania wobec treści ogłoszenia o zamówieniu lub postanowień Specyfikacji Istotnych Warunków Zamówienia, Zamawiający może przedłużyć termin składania ofert.</w:t>
      </w:r>
    </w:p>
    <w:p w:rsidR="00397297" w:rsidRPr="00940D07" w:rsidRDefault="00397297" w:rsidP="00AD0B7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AE572F" w:rsidRPr="00FD6E76" w:rsidRDefault="00AE572F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AE572F" w:rsidRPr="00F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7434F9B"/>
    <w:multiLevelType w:val="multilevel"/>
    <w:tmpl w:val="CE007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4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6" w15:restartNumberingAfterBreak="0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2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8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0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3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5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7" w15:restartNumberingAfterBreak="0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28" w15:restartNumberingAfterBreak="0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1" w15:restartNumberingAfterBreak="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5"/>
  </w:num>
  <w:num w:numId="3">
    <w:abstractNumId w:val="31"/>
  </w:num>
  <w:num w:numId="4">
    <w:abstractNumId w:val="32"/>
  </w:num>
  <w:num w:numId="5">
    <w:abstractNumId w:val="13"/>
  </w:num>
  <w:num w:numId="6">
    <w:abstractNumId w:val="33"/>
  </w:num>
  <w:num w:numId="7">
    <w:abstractNumId w:val="6"/>
  </w:num>
  <w:num w:numId="8">
    <w:abstractNumId w:val="11"/>
  </w:num>
  <w:num w:numId="9">
    <w:abstractNumId w:val="19"/>
  </w:num>
  <w:num w:numId="10">
    <w:abstractNumId w:val="26"/>
  </w:num>
  <w:num w:numId="11">
    <w:abstractNumId w:val="34"/>
  </w:num>
  <w:num w:numId="12">
    <w:abstractNumId w:val="14"/>
  </w:num>
  <w:num w:numId="13">
    <w:abstractNumId w:val="20"/>
  </w:num>
  <w:num w:numId="14">
    <w:abstractNumId w:val="2"/>
  </w:num>
  <w:num w:numId="15">
    <w:abstractNumId w:val="30"/>
  </w:num>
  <w:num w:numId="16">
    <w:abstractNumId w:val="12"/>
  </w:num>
  <w:num w:numId="17">
    <w:abstractNumId w:val="23"/>
  </w:num>
  <w:num w:numId="18">
    <w:abstractNumId w:val="18"/>
  </w:num>
  <w:num w:numId="19">
    <w:abstractNumId w:val="10"/>
  </w:num>
  <w:num w:numId="20">
    <w:abstractNumId w:val="25"/>
  </w:num>
  <w:num w:numId="21">
    <w:abstractNumId w:val="0"/>
  </w:num>
  <w:num w:numId="22">
    <w:abstractNumId w:val="9"/>
  </w:num>
  <w:num w:numId="23">
    <w:abstractNumId w:val="24"/>
  </w:num>
  <w:num w:numId="24">
    <w:abstractNumId w:val="15"/>
  </w:num>
  <w:num w:numId="25">
    <w:abstractNumId w:val="21"/>
  </w:num>
  <w:num w:numId="26">
    <w:abstractNumId w:val="16"/>
  </w:num>
  <w:num w:numId="27">
    <w:abstractNumId w:val="4"/>
  </w:num>
  <w:num w:numId="28">
    <w:abstractNumId w:val="22"/>
  </w:num>
  <w:num w:numId="29">
    <w:abstractNumId w:val="27"/>
  </w:num>
  <w:num w:numId="30">
    <w:abstractNumId w:val="17"/>
  </w:num>
  <w:num w:numId="31">
    <w:abstractNumId w:val="29"/>
  </w:num>
  <w:num w:numId="32">
    <w:abstractNumId w:val="28"/>
  </w:num>
  <w:num w:numId="33">
    <w:abstractNumId w:val="7"/>
  </w:num>
  <w:num w:numId="34">
    <w:abstractNumId w:val="1"/>
  </w:num>
  <w:num w:numId="35">
    <w:abstractNumId w:val="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6432"/>
    <w:rsid w:val="000224FE"/>
    <w:rsid w:val="0003060E"/>
    <w:rsid w:val="00032EA3"/>
    <w:rsid w:val="00035783"/>
    <w:rsid w:val="00044997"/>
    <w:rsid w:val="00060328"/>
    <w:rsid w:val="00067D2F"/>
    <w:rsid w:val="0008159C"/>
    <w:rsid w:val="0008539E"/>
    <w:rsid w:val="000A0058"/>
    <w:rsid w:val="000B0DE3"/>
    <w:rsid w:val="000B2E0F"/>
    <w:rsid w:val="000F28BB"/>
    <w:rsid w:val="000F3754"/>
    <w:rsid w:val="00101887"/>
    <w:rsid w:val="00102085"/>
    <w:rsid w:val="0010277B"/>
    <w:rsid w:val="00113F70"/>
    <w:rsid w:val="0011469B"/>
    <w:rsid w:val="00126531"/>
    <w:rsid w:val="00127433"/>
    <w:rsid w:val="00170963"/>
    <w:rsid w:val="0017593D"/>
    <w:rsid w:val="0018078F"/>
    <w:rsid w:val="00181422"/>
    <w:rsid w:val="001B34B7"/>
    <w:rsid w:val="001B3B50"/>
    <w:rsid w:val="001B7F64"/>
    <w:rsid w:val="001D1AC9"/>
    <w:rsid w:val="001E07D5"/>
    <w:rsid w:val="001E6B66"/>
    <w:rsid w:val="001F60F1"/>
    <w:rsid w:val="001F6213"/>
    <w:rsid w:val="002008C1"/>
    <w:rsid w:val="00203523"/>
    <w:rsid w:val="002067AC"/>
    <w:rsid w:val="0020683C"/>
    <w:rsid w:val="00217788"/>
    <w:rsid w:val="00240FE0"/>
    <w:rsid w:val="00241432"/>
    <w:rsid w:val="00244964"/>
    <w:rsid w:val="00255BED"/>
    <w:rsid w:val="0027748C"/>
    <w:rsid w:val="0028147D"/>
    <w:rsid w:val="00282471"/>
    <w:rsid w:val="002A098B"/>
    <w:rsid w:val="002A5DA8"/>
    <w:rsid w:val="002B7819"/>
    <w:rsid w:val="00317515"/>
    <w:rsid w:val="00320331"/>
    <w:rsid w:val="00337EC4"/>
    <w:rsid w:val="00342818"/>
    <w:rsid w:val="00370AC7"/>
    <w:rsid w:val="00373CFD"/>
    <w:rsid w:val="00397297"/>
    <w:rsid w:val="003A2BF8"/>
    <w:rsid w:val="003A44B9"/>
    <w:rsid w:val="003A4C9F"/>
    <w:rsid w:val="003B24E9"/>
    <w:rsid w:val="003C5265"/>
    <w:rsid w:val="003D304F"/>
    <w:rsid w:val="003E4140"/>
    <w:rsid w:val="003F555B"/>
    <w:rsid w:val="00406665"/>
    <w:rsid w:val="00411AA8"/>
    <w:rsid w:val="0042093B"/>
    <w:rsid w:val="00420E3F"/>
    <w:rsid w:val="00436B1C"/>
    <w:rsid w:val="00473C06"/>
    <w:rsid w:val="0047520C"/>
    <w:rsid w:val="00482B6B"/>
    <w:rsid w:val="00485663"/>
    <w:rsid w:val="00493F41"/>
    <w:rsid w:val="004A6A5D"/>
    <w:rsid w:val="004C4219"/>
    <w:rsid w:val="004D1DFE"/>
    <w:rsid w:val="004E170C"/>
    <w:rsid w:val="004E6CAA"/>
    <w:rsid w:val="004F2E1C"/>
    <w:rsid w:val="00514766"/>
    <w:rsid w:val="00525DA8"/>
    <w:rsid w:val="00536411"/>
    <w:rsid w:val="00561FC1"/>
    <w:rsid w:val="0056284A"/>
    <w:rsid w:val="005709E1"/>
    <w:rsid w:val="00587367"/>
    <w:rsid w:val="005E2BA4"/>
    <w:rsid w:val="005E658F"/>
    <w:rsid w:val="005E6F32"/>
    <w:rsid w:val="00611F07"/>
    <w:rsid w:val="00613C2B"/>
    <w:rsid w:val="00616DBE"/>
    <w:rsid w:val="0062187D"/>
    <w:rsid w:val="0063413F"/>
    <w:rsid w:val="006378B4"/>
    <w:rsid w:val="006466A8"/>
    <w:rsid w:val="0065171C"/>
    <w:rsid w:val="0068344C"/>
    <w:rsid w:val="00696E12"/>
    <w:rsid w:val="006A0DFE"/>
    <w:rsid w:val="006A1AC7"/>
    <w:rsid w:val="006E2562"/>
    <w:rsid w:val="006E4779"/>
    <w:rsid w:val="006E773C"/>
    <w:rsid w:val="006F1A1B"/>
    <w:rsid w:val="007129DB"/>
    <w:rsid w:val="0071767D"/>
    <w:rsid w:val="00733563"/>
    <w:rsid w:val="00735E68"/>
    <w:rsid w:val="007524C4"/>
    <w:rsid w:val="0076569B"/>
    <w:rsid w:val="007723DD"/>
    <w:rsid w:val="00791DCC"/>
    <w:rsid w:val="007B1465"/>
    <w:rsid w:val="007B7A88"/>
    <w:rsid w:val="007C3B4F"/>
    <w:rsid w:val="007D0667"/>
    <w:rsid w:val="007D4FF5"/>
    <w:rsid w:val="007D757F"/>
    <w:rsid w:val="007E14DB"/>
    <w:rsid w:val="007E6E34"/>
    <w:rsid w:val="008028BF"/>
    <w:rsid w:val="008033C3"/>
    <w:rsid w:val="0085207D"/>
    <w:rsid w:val="00854DC8"/>
    <w:rsid w:val="00863BF0"/>
    <w:rsid w:val="00870163"/>
    <w:rsid w:val="008740FA"/>
    <w:rsid w:val="00883141"/>
    <w:rsid w:val="008857AE"/>
    <w:rsid w:val="008867A8"/>
    <w:rsid w:val="00886C5F"/>
    <w:rsid w:val="00892C00"/>
    <w:rsid w:val="008A4D94"/>
    <w:rsid w:val="008A5331"/>
    <w:rsid w:val="008D538D"/>
    <w:rsid w:val="008E0B9D"/>
    <w:rsid w:val="008E2C79"/>
    <w:rsid w:val="00904A59"/>
    <w:rsid w:val="00905BF2"/>
    <w:rsid w:val="00927BFD"/>
    <w:rsid w:val="00930B6C"/>
    <w:rsid w:val="0095121F"/>
    <w:rsid w:val="0096409F"/>
    <w:rsid w:val="009677C7"/>
    <w:rsid w:val="00972BC3"/>
    <w:rsid w:val="0097361D"/>
    <w:rsid w:val="009813E1"/>
    <w:rsid w:val="0099632D"/>
    <w:rsid w:val="009A01D3"/>
    <w:rsid w:val="009A6654"/>
    <w:rsid w:val="009C0C1D"/>
    <w:rsid w:val="009C59BE"/>
    <w:rsid w:val="00A0752F"/>
    <w:rsid w:val="00A13944"/>
    <w:rsid w:val="00A24473"/>
    <w:rsid w:val="00A36882"/>
    <w:rsid w:val="00A4098F"/>
    <w:rsid w:val="00A5681A"/>
    <w:rsid w:val="00A75C24"/>
    <w:rsid w:val="00A91165"/>
    <w:rsid w:val="00A953EA"/>
    <w:rsid w:val="00A956C2"/>
    <w:rsid w:val="00AA6DE6"/>
    <w:rsid w:val="00AB26B9"/>
    <w:rsid w:val="00AB507D"/>
    <w:rsid w:val="00AD0B7E"/>
    <w:rsid w:val="00AD60B9"/>
    <w:rsid w:val="00AD6BDA"/>
    <w:rsid w:val="00AE2EBF"/>
    <w:rsid w:val="00AE572F"/>
    <w:rsid w:val="00AF7766"/>
    <w:rsid w:val="00B14CDF"/>
    <w:rsid w:val="00B159D9"/>
    <w:rsid w:val="00B30627"/>
    <w:rsid w:val="00B36CE6"/>
    <w:rsid w:val="00B470E2"/>
    <w:rsid w:val="00B510CD"/>
    <w:rsid w:val="00B52A4A"/>
    <w:rsid w:val="00B92771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C065D6"/>
    <w:rsid w:val="00C1582A"/>
    <w:rsid w:val="00C16EFA"/>
    <w:rsid w:val="00C3293F"/>
    <w:rsid w:val="00C561DC"/>
    <w:rsid w:val="00C62867"/>
    <w:rsid w:val="00C733F1"/>
    <w:rsid w:val="00C7441F"/>
    <w:rsid w:val="00C862FF"/>
    <w:rsid w:val="00C97305"/>
    <w:rsid w:val="00CB6909"/>
    <w:rsid w:val="00CB772E"/>
    <w:rsid w:val="00CB7928"/>
    <w:rsid w:val="00CC3383"/>
    <w:rsid w:val="00CE254E"/>
    <w:rsid w:val="00CE6972"/>
    <w:rsid w:val="00D03D0E"/>
    <w:rsid w:val="00D03D99"/>
    <w:rsid w:val="00D2167A"/>
    <w:rsid w:val="00D32171"/>
    <w:rsid w:val="00D34337"/>
    <w:rsid w:val="00D44640"/>
    <w:rsid w:val="00D55AA1"/>
    <w:rsid w:val="00D611C2"/>
    <w:rsid w:val="00D61B34"/>
    <w:rsid w:val="00D70F0E"/>
    <w:rsid w:val="00D715BA"/>
    <w:rsid w:val="00DB43CB"/>
    <w:rsid w:val="00DB5F2B"/>
    <w:rsid w:val="00DB6DC5"/>
    <w:rsid w:val="00DB765E"/>
    <w:rsid w:val="00DD091B"/>
    <w:rsid w:val="00DD2BDD"/>
    <w:rsid w:val="00DD355D"/>
    <w:rsid w:val="00DE20D8"/>
    <w:rsid w:val="00DE7FD0"/>
    <w:rsid w:val="00DF0B5B"/>
    <w:rsid w:val="00E027EA"/>
    <w:rsid w:val="00E07444"/>
    <w:rsid w:val="00E20783"/>
    <w:rsid w:val="00E24010"/>
    <w:rsid w:val="00E25255"/>
    <w:rsid w:val="00E312E1"/>
    <w:rsid w:val="00E4137D"/>
    <w:rsid w:val="00E418CC"/>
    <w:rsid w:val="00E43462"/>
    <w:rsid w:val="00E45CD3"/>
    <w:rsid w:val="00E50241"/>
    <w:rsid w:val="00E505A0"/>
    <w:rsid w:val="00E62B8D"/>
    <w:rsid w:val="00E7036D"/>
    <w:rsid w:val="00E87026"/>
    <w:rsid w:val="00EA4369"/>
    <w:rsid w:val="00EA6CB0"/>
    <w:rsid w:val="00EB3BC2"/>
    <w:rsid w:val="00EC1A29"/>
    <w:rsid w:val="00EC3E45"/>
    <w:rsid w:val="00EC548C"/>
    <w:rsid w:val="00EE5D6F"/>
    <w:rsid w:val="00EF7578"/>
    <w:rsid w:val="00F14726"/>
    <w:rsid w:val="00F261B5"/>
    <w:rsid w:val="00F40411"/>
    <w:rsid w:val="00F47805"/>
    <w:rsid w:val="00F531D7"/>
    <w:rsid w:val="00F62B74"/>
    <w:rsid w:val="00F71FF1"/>
    <w:rsid w:val="00F86D4F"/>
    <w:rsid w:val="00F87E71"/>
    <w:rsid w:val="00F92925"/>
    <w:rsid w:val="00F9741D"/>
    <w:rsid w:val="00FA4D8E"/>
    <w:rsid w:val="00FA64C6"/>
    <w:rsid w:val="00FB4BAA"/>
    <w:rsid w:val="00FC4AA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E41AC"/>
  <w15:docId w15:val="{D674A155-2416-4B57-9F85-F97A5626E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4779</Words>
  <Characters>28676</Characters>
  <Application>Microsoft Office Word</Application>
  <DocSecurity>0</DocSecurity>
  <Lines>238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Suchy Katarzyna</cp:lastModifiedBy>
  <cp:revision>14</cp:revision>
  <cp:lastPrinted>2019-10-22T08:06:00Z</cp:lastPrinted>
  <dcterms:created xsi:type="dcterms:W3CDTF">2019-10-09T10:51:00Z</dcterms:created>
  <dcterms:modified xsi:type="dcterms:W3CDTF">2019-10-22T08:06:00Z</dcterms:modified>
</cp:coreProperties>
</file>