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6F2D50">
        <w:rPr>
          <w:rFonts w:ascii="Trebuchet MS" w:hAnsi="Trebuchet MS" w:cs="Lucida Sans Unicode"/>
          <w:b/>
          <w:bCs/>
          <w:sz w:val="20"/>
          <w:szCs w:val="20"/>
        </w:rPr>
        <w:t>0.12.</w:t>
      </w:r>
      <w:r w:rsidR="00566E65">
        <w:rPr>
          <w:rFonts w:ascii="Trebuchet MS" w:hAnsi="Trebuchet MS" w:cs="Lucida Sans Unicode"/>
          <w:b/>
          <w:bCs/>
          <w:sz w:val="20"/>
          <w:szCs w:val="20"/>
        </w:rPr>
        <w:t>2020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F0161D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Zorganizowanie i przeprowadzenie </w:t>
      </w:r>
    </w:p>
    <w:p w:rsidR="00BA2CCC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kursu pierwszej pomocy przedmedycznej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1346B0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dzieci i młodzieży</w:t>
      </w:r>
      <w:r w:rsidR="002F1A50">
        <w:rPr>
          <w:rFonts w:ascii="Trebuchet MS" w:hAnsi="Trebuchet MS" w:cs="Lucida Sans Unicode"/>
          <w:b/>
          <w:sz w:val="24"/>
          <w:szCs w:val="20"/>
        </w:rPr>
        <w:t xml:space="preserve"> - uczestników</w:t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 xml:space="preserve"> projektu pn. „Miejskie Centrum Usług Społecznościowych – Rozwój międzypokoleniowych usług społecznych </w:t>
      </w:r>
      <w:r w:rsidR="002F1A50">
        <w:rPr>
          <w:rFonts w:ascii="Trebuchet MS" w:hAnsi="Trebuchet MS" w:cs="Lucida Sans Unicode"/>
          <w:b/>
          <w:sz w:val="24"/>
          <w:szCs w:val="20"/>
        </w:rPr>
        <w:br/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>w Bielsku-Białej”</w:t>
      </w:r>
      <w:r w:rsidR="00393574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F0161D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1346B0">
        <w:rPr>
          <w:rFonts w:ascii="Trebuchet MS" w:hAnsi="Trebuchet MS"/>
          <w:sz w:val="20"/>
          <w:szCs w:val="20"/>
        </w:rPr>
        <w:t xml:space="preserve">anie i przeprowadzenie łącznie 32 godzin </w:t>
      </w:r>
      <w:r w:rsidR="002D49CB">
        <w:rPr>
          <w:rFonts w:ascii="Trebuchet MS" w:hAnsi="Trebuchet MS"/>
          <w:sz w:val="20"/>
          <w:szCs w:val="20"/>
        </w:rPr>
        <w:t xml:space="preserve">zegarowych </w:t>
      </w:r>
      <w:r w:rsidR="001346B0">
        <w:rPr>
          <w:rFonts w:ascii="Trebuchet MS" w:hAnsi="Trebuchet MS"/>
          <w:sz w:val="20"/>
          <w:szCs w:val="20"/>
        </w:rPr>
        <w:t>warsztatów</w:t>
      </w:r>
      <w:r w:rsidR="00F0161D">
        <w:rPr>
          <w:rFonts w:ascii="Trebuchet MS" w:hAnsi="Trebuchet MS"/>
          <w:sz w:val="20"/>
          <w:szCs w:val="20"/>
        </w:rPr>
        <w:t xml:space="preserve"> z zakresu pierwszej pomocy przedmedycznej dla </w:t>
      </w:r>
      <w:r w:rsidR="001346B0">
        <w:rPr>
          <w:rFonts w:ascii="Trebuchet MS" w:hAnsi="Trebuchet MS"/>
          <w:sz w:val="20"/>
          <w:szCs w:val="20"/>
        </w:rPr>
        <w:t xml:space="preserve">30 osób – dzieci </w:t>
      </w:r>
      <w:r w:rsidR="002D49CB">
        <w:rPr>
          <w:rFonts w:ascii="Trebuchet MS" w:hAnsi="Trebuchet MS"/>
          <w:sz w:val="20"/>
          <w:szCs w:val="20"/>
        </w:rPr>
        <w:br/>
      </w:r>
      <w:r w:rsidR="001346B0">
        <w:rPr>
          <w:rFonts w:ascii="Trebuchet MS" w:hAnsi="Trebuchet MS"/>
          <w:sz w:val="20"/>
          <w:szCs w:val="20"/>
        </w:rPr>
        <w:t>i młodzieży</w:t>
      </w:r>
      <w:r w:rsidR="002D49CB">
        <w:rPr>
          <w:rFonts w:ascii="Trebuchet MS" w:hAnsi="Trebuchet MS"/>
          <w:sz w:val="20"/>
          <w:szCs w:val="20"/>
        </w:rPr>
        <w:t>,</w:t>
      </w:r>
      <w:r w:rsidR="002F1A50">
        <w:rPr>
          <w:rFonts w:ascii="Trebuchet MS" w:hAnsi="Trebuchet MS"/>
          <w:sz w:val="20"/>
          <w:szCs w:val="20"/>
        </w:rPr>
        <w:t xml:space="preserve"> będących uczestnikami</w:t>
      </w:r>
      <w:r w:rsidR="00F0161D">
        <w:rPr>
          <w:rFonts w:ascii="Trebuchet MS" w:hAnsi="Trebuchet MS"/>
          <w:sz w:val="20"/>
          <w:szCs w:val="20"/>
        </w:rPr>
        <w:t xml:space="preserve">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1346B0" w:rsidRDefault="001346B0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Warsztaty będą się odbywać w dwóch grupach (po 15 osób każda), w każdej grupie przeprowadzonych zostanie 16 godzin zegarowych warsztatów.</w:t>
      </w:r>
    </w:p>
    <w:p w:rsidR="00F5142D" w:rsidRDefault="00F0161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Kurs powinien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obejmować omówienie następujących zagadnień: 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Podstawy prawne pierwszej pomocy przedmedycznej,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Rany,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Omdlenia, epilepsja, udar, wylew,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Krwotoki – rodzaje, metody tamowania,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kostno-stawowe: złamania, usztywnianie złamanych kończyn, złamania żeber, pęknięcie czaszki, obrażenia kręgosłupa, skręcenia, zwichnięcia, stłuczenia,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Zadławienia (osoby dorosłej, dziecka, niemowlęcia, kobiety w ciąży),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Oparzenia,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Zatrzymanie krążenia i oddechu: resuscytacja krążeniowo-oddechowa osoby dorosłej, resuscytacja kobiety w ciąży, resuscytacja dziecka, niemowlęcia, pozycja bezpieczna,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Wstrząs,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Cukrzyca,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Porażenie prądem elektrycznym</w:t>
      </w:r>
      <w:r w:rsidR="005C4E70">
        <w:rPr>
          <w:rFonts w:ascii="Trebuchet MS" w:hAnsi="Trebuchet MS"/>
          <w:sz w:val="20"/>
          <w:szCs w:val="20"/>
        </w:rPr>
        <w:t>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kręgosłupa i rdzenia kręgowego,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brzucha,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Ukąszenia, użądlenia,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Zatrucia (lekami, gazami, alkoholem, środkami żrącymi, środkami ochrony roślin, grzybami, tlenkiem węgla</w:t>
      </w:r>
      <w:r w:rsidR="005016FC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>, m</w:t>
      </w:r>
      <w:r w:rsidR="005016FC">
        <w:rPr>
          <w:rFonts w:ascii="Trebuchet MS" w:hAnsi="Trebuchet MS"/>
          <w:sz w:val="20"/>
          <w:szCs w:val="20"/>
        </w:rPr>
        <w:t>etody eliminacji trucizn</w:t>
      </w:r>
      <w:r w:rsidR="002D49CB">
        <w:rPr>
          <w:rFonts w:ascii="Trebuchet MS" w:hAnsi="Trebuchet MS"/>
          <w:sz w:val="20"/>
          <w:szCs w:val="20"/>
        </w:rPr>
        <w:t>, postę</w:t>
      </w:r>
      <w:r>
        <w:rPr>
          <w:rFonts w:ascii="Trebuchet MS" w:hAnsi="Trebuchet MS"/>
          <w:sz w:val="20"/>
          <w:szCs w:val="20"/>
        </w:rPr>
        <w:t>powanie,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Odmrożenia,</w:t>
      </w:r>
    </w:p>
    <w:p w:rsidR="005C4E70" w:rsidRPr="00F0161D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Apteczka – podstawowe wyposażenie.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2D49CB">
        <w:rPr>
          <w:rFonts w:ascii="Trebuchet MS" w:hAnsi="Trebuchet MS"/>
          <w:sz w:val="20"/>
          <w:szCs w:val="20"/>
        </w:rPr>
        <w:t xml:space="preserve">arsztaty przeprowadzone zostaną dla 30 osób, dzieci i młodzieży, w dwóch grupach </w:t>
      </w:r>
      <w:r w:rsidR="002D49CB">
        <w:rPr>
          <w:rFonts w:ascii="Trebuchet MS" w:hAnsi="Trebuchet MS"/>
          <w:sz w:val="20"/>
          <w:szCs w:val="20"/>
        </w:rPr>
        <w:br/>
        <w:t>15 osobowych po 16 godzin zegarowych w każdej grupie.</w:t>
      </w:r>
    </w:p>
    <w:p w:rsidR="00F5142D" w:rsidRDefault="005C4E70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Czas trwania kursu – </w:t>
      </w:r>
      <w:r w:rsidR="002D49CB">
        <w:rPr>
          <w:rFonts w:ascii="Trebuchet MS" w:hAnsi="Trebuchet MS"/>
          <w:sz w:val="20"/>
          <w:szCs w:val="20"/>
        </w:rPr>
        <w:t>łącznie 32</w:t>
      </w:r>
      <w:r w:rsidR="00F5142D">
        <w:rPr>
          <w:rFonts w:ascii="Trebuchet MS" w:hAnsi="Trebuchet MS"/>
          <w:sz w:val="20"/>
          <w:szCs w:val="20"/>
        </w:rPr>
        <w:t xml:space="preserve"> godzin</w:t>
      </w:r>
      <w:r w:rsidR="002D49CB">
        <w:rPr>
          <w:rFonts w:ascii="Trebuchet MS" w:hAnsi="Trebuchet MS"/>
          <w:sz w:val="20"/>
          <w:szCs w:val="20"/>
        </w:rPr>
        <w:t>y zegarowe</w:t>
      </w:r>
      <w:r w:rsidR="00F5142D">
        <w:rPr>
          <w:rFonts w:ascii="Trebuchet MS" w:hAnsi="Trebuchet MS"/>
          <w:sz w:val="20"/>
          <w:szCs w:val="20"/>
        </w:rPr>
        <w:t>.</w:t>
      </w:r>
    </w:p>
    <w:p w:rsidR="007A0256" w:rsidRPr="006F2D50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6F2D50"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i sprzęt dydaktyczny niezbędny do przeprowadzenia zajęć (</w:t>
      </w:r>
      <w:r w:rsidR="005016FC">
        <w:rPr>
          <w:rFonts w:ascii="Trebuchet MS" w:hAnsi="Trebuchet MS"/>
          <w:sz w:val="20"/>
          <w:szCs w:val="20"/>
        </w:rPr>
        <w:t xml:space="preserve">m.in. </w:t>
      </w:r>
      <w:r>
        <w:rPr>
          <w:rFonts w:ascii="Trebuchet MS" w:hAnsi="Trebuchet MS"/>
          <w:sz w:val="20"/>
          <w:szCs w:val="20"/>
        </w:rPr>
        <w:t>defibrylator szkoleniowy, materiały opatrunkowe),</w:t>
      </w:r>
    </w:p>
    <w:p w:rsidR="005C4E70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fantomy (niemowlę, dziecko, dorosły),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dokumentach związanych z organizacją zajęć (harmonogram zajęć, zaświadczenia o ukończeniu zajęć, certyfikaty, dyplomy, listy obecności</w:t>
      </w:r>
      <w:r w:rsidR="005C4E70">
        <w:rPr>
          <w:rFonts w:ascii="Trebuchet MS" w:hAnsi="Trebuchet MS"/>
          <w:sz w:val="20"/>
          <w:szCs w:val="20"/>
        </w:rPr>
        <w:t>, wykaz osób, które ukończyły zajęcia</w:t>
      </w:r>
      <w:r w:rsidR="002F1A50">
        <w:rPr>
          <w:rFonts w:ascii="Trebuchet MS" w:hAnsi="Trebuchet MS"/>
          <w:sz w:val="20"/>
          <w:szCs w:val="20"/>
        </w:rPr>
        <w:t xml:space="preserve"> itp.) Informacje dotyczące promocji zostaną dostarczone przez Zamawiającego.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2F1A50">
        <w:rPr>
          <w:rFonts w:ascii="Trebuchet MS" w:hAnsi="Trebuchet MS"/>
          <w:sz w:val="20"/>
          <w:szCs w:val="20"/>
        </w:rPr>
        <w:t>ali do zajęć.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5C4E70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80562000-1  Usługi szkolenia w dziedzinie pierwszej pomocy</w:t>
      </w:r>
    </w:p>
    <w:p w:rsidR="005C4E70" w:rsidRDefault="001120FC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6F2D50" w:rsidRPr="006F2D50" w:rsidRDefault="006F2D50" w:rsidP="006F2D50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80310000-0  Usługi edukacji młodzieży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</w:t>
      </w:r>
      <w:r w:rsidR="002F1A50">
        <w:rPr>
          <w:rFonts w:ascii="Trebuchet MS" w:hAnsi="Trebuchet MS" w:cs="Lucida Sans Unicode"/>
          <w:sz w:val="20"/>
          <w:szCs w:val="20"/>
        </w:rPr>
        <w:t xml:space="preserve">wienia –  od września 2020 do 30 czerwca 2021 roku 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E5483A">
        <w:rPr>
          <w:rFonts w:ascii="Trebuchet MS" w:eastAsia="Calibri" w:hAnsi="Trebuchet MS" w:cs="Arial"/>
          <w:sz w:val="20"/>
        </w:rPr>
        <w:t>ch oraz Anna Wandzel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5F3CEF" w:rsidRP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>posiadającą odpowiednie uprawnienia do prowadzenia kursów z zakresu pierwszej pomocy.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5F3CEF" w:rsidRPr="00D45993" w:rsidRDefault="005F3CEF" w:rsidP="005F3CE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 xml:space="preserve">Na potwierdzenie braku podstaw wykluczenia z uwagi na okoliczności wskazane w pkt. 1.1. (warunki udziału w postępowaniu), Wykonawca zobowiązany jest wraz z ofertą złożyć </w:t>
      </w:r>
      <w:bookmarkStart w:id="0" w:name="_GoBack"/>
      <w:bookmarkEnd w:id="0"/>
      <w:r w:rsidRPr="00D45993">
        <w:rPr>
          <w:rFonts w:ascii="Trebuchet MS" w:hAnsi="Trebuchet MS"/>
          <w:sz w:val="20"/>
          <w:szCs w:val="20"/>
        </w:rPr>
        <w:t>następujące oświadczenia/dokumenty: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BA2CCC" w:rsidRDefault="00BA2CCC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5F3CEF" w:rsidRDefault="005F3CEF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3,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E5483A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Pr="00E5483A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E5483A" w:rsidTr="000460B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0"/>
              </w:rPr>
            </w:pPr>
          </w:p>
          <w:p w:rsidR="00E5483A" w:rsidRDefault="00E5483A" w:rsidP="000460B8">
            <w:pPr>
              <w:spacing w:after="0"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Miejski Ośrodek Pomocy Społecznej</w:t>
            </w:r>
          </w:p>
          <w:p w:rsidR="00E5483A" w:rsidRDefault="00E5483A" w:rsidP="000460B8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43 – 300  Bielsko – Biała, ul. Karola Miarki 11</w:t>
            </w:r>
          </w:p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sz w:val="8"/>
              </w:rPr>
            </w:pPr>
          </w:p>
          <w:p w:rsidR="00E5483A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Oferta do postępowania: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 xml:space="preserve">Zorganizowanie i przeprowadzenie 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>kursu pierwszej pomocy przedmedycznej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0"/>
                <w:szCs w:val="20"/>
              </w:rPr>
            </w:pPr>
          </w:p>
          <w:p w:rsidR="00E5483A" w:rsidRPr="00E5483A" w:rsidRDefault="006F2D50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8"/>
                <w:szCs w:val="20"/>
              </w:rPr>
            </w:pPr>
            <w:r>
              <w:rPr>
                <w:rFonts w:ascii="Trebuchet MS" w:hAnsi="Trebuchet MS" w:cs="Lucida Sans Unicode"/>
                <w:b/>
                <w:szCs w:val="20"/>
              </w:rPr>
              <w:t>dla dzieci i młodzieży</w:t>
            </w:r>
            <w:r w:rsidR="00E5483A" w:rsidRPr="00E5483A">
              <w:rPr>
                <w:rFonts w:ascii="Trebuchet MS" w:hAnsi="Trebuchet MS" w:cs="Lucida Sans Unicode"/>
                <w:b/>
                <w:szCs w:val="20"/>
              </w:rPr>
              <w:t xml:space="preserve"> - uczestników projektu pn. „Miejskie Centrum Usług Społecznościowych – Rozwój międzypokoleniowych usług społecznych </w:t>
            </w:r>
            <w:r w:rsidR="00E5483A" w:rsidRPr="00E5483A">
              <w:rPr>
                <w:rFonts w:ascii="Trebuchet MS" w:hAnsi="Trebuchet MS" w:cs="Lucida Sans Unicode"/>
                <w:b/>
                <w:szCs w:val="20"/>
              </w:rPr>
              <w:br/>
              <w:t>w Bielsku-Białej”</w:t>
            </w:r>
            <w:r w:rsidR="00E5483A" w:rsidRPr="00E5483A">
              <w:rPr>
                <w:rFonts w:ascii="Trebuchet MS" w:hAnsi="Trebuchet MS" w:cs="Arial"/>
                <w:b/>
                <w:szCs w:val="20"/>
              </w:rPr>
              <w:t xml:space="preserve"> </w:t>
            </w:r>
          </w:p>
          <w:p w:rsidR="00E5483A" w:rsidRDefault="00E5483A" w:rsidP="000460B8">
            <w:pPr>
              <w:tabs>
                <w:tab w:val="num" w:pos="567"/>
              </w:tabs>
              <w:rPr>
                <w:rFonts w:ascii="Trebuchet MS" w:hAnsi="Trebuchet MS" w:cs="Arial"/>
                <w:b/>
                <w:bCs/>
              </w:rPr>
            </w:pPr>
          </w:p>
          <w:p w:rsidR="00E5483A" w:rsidRDefault="00C554FD" w:rsidP="000460B8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- Nie otwierać przed  10 lipca</w:t>
            </w:r>
            <w:r w:rsidR="00E5483A">
              <w:rPr>
                <w:rFonts w:ascii="Trebuchet MS" w:hAnsi="Trebuchet MS" w:cs="Arial"/>
                <w:b/>
              </w:rPr>
              <w:t xml:space="preserve"> 2020  r.  godz. 11.10  </w:t>
            </w:r>
          </w:p>
        </w:tc>
      </w:tr>
    </w:tbl>
    <w:p w:rsidR="00E5483A" w:rsidRPr="007076E1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Pr="00770BFB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Pr="001172C3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Pr="00E5483A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5F3CEF">
        <w:rPr>
          <w:rFonts w:ascii="Trebuchet MS" w:hAnsi="Trebuchet MS" w:cs="Arial"/>
          <w:sz w:val="20"/>
        </w:rPr>
        <w:t>nr 4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E5483A" w:rsidRPr="00C554FD" w:rsidRDefault="00E5483A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 xml:space="preserve">Jeżeli ofertę złoży </w:t>
      </w:r>
      <w:r w:rsidR="00F20F62" w:rsidRPr="00C554FD">
        <w:rPr>
          <w:rFonts w:ascii="Trebuchet MS" w:hAnsi="Trebuchet MS" w:cs="Arial"/>
          <w:sz w:val="20"/>
        </w:rPr>
        <w:t>Wykonawca będący osobą fizyczną nieprowadzącą</w:t>
      </w:r>
      <w:r w:rsidRPr="00C554FD">
        <w:rPr>
          <w:rFonts w:ascii="Trebuchet MS" w:hAnsi="Trebuchet MS" w:cs="Arial"/>
          <w:sz w:val="20"/>
        </w:rPr>
        <w:t xml:space="preserve"> działalności gospodarczej, </w:t>
      </w:r>
      <w:r w:rsidR="00F20F62" w:rsidRPr="00C554FD">
        <w:rPr>
          <w:rFonts w:ascii="Trebuchet MS" w:hAnsi="Trebuchet MS" w:cs="Arial"/>
          <w:sz w:val="20"/>
        </w:rPr>
        <w:t>zobowiązany jest on do podania jako ceny brutto - całkowitej k</w:t>
      </w:r>
      <w:r w:rsidR="0062255D" w:rsidRPr="00C554FD">
        <w:rPr>
          <w:rFonts w:ascii="Trebuchet MS" w:hAnsi="Trebuchet MS" w:cs="Arial"/>
          <w:sz w:val="20"/>
        </w:rPr>
        <w:t>woty jaką poniesie Zamawiający tj. uwzględniającej</w:t>
      </w:r>
      <w:r w:rsidRPr="00C554FD">
        <w:rPr>
          <w:rFonts w:ascii="Trebuchet MS" w:hAnsi="Trebuchet MS" w:cs="Arial"/>
          <w:sz w:val="20"/>
        </w:rPr>
        <w:t xml:space="preserve"> składki na ubezpieczenie społeczne i zdrowotne oraz zaliczkę na podatek dochodowy, które to Zamawiający, zgodnie z obowiązującymi przepisami, zobowiązany byłby naliczyć i odprowadzić.</w:t>
      </w:r>
    </w:p>
    <w:p w:rsidR="00BA2CCC" w:rsidRPr="00C554FD" w:rsidRDefault="00F20F62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>Ustalenie ceny brutto jako sumy wszelkich kosztów, jakie poniesie Zamawiający w związku z wykonaniem umowy ma na celu doprowadzenie do porównywalności ofert składanych przez podmioty prowadzące działalność gospodarczą i osoby nieprowadzące działalności gospodarczej.</w:t>
      </w:r>
    </w:p>
    <w:p w:rsidR="00BA2CCC" w:rsidRPr="00C554FD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E5483A" w:rsidRPr="00CC5A73" w:rsidRDefault="00E5483A" w:rsidP="00E5483A">
      <w:pPr>
        <w:pStyle w:val="Tekstpodstawowy"/>
        <w:numPr>
          <w:ilvl w:val="1"/>
          <w:numId w:val="18"/>
        </w:numPr>
        <w:tabs>
          <w:tab w:val="left" w:pos="709"/>
        </w:tabs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C554FD">
        <w:rPr>
          <w:rFonts w:ascii="Trebuchet MS" w:hAnsi="Trebuchet MS" w:cs="Arial"/>
          <w:b/>
          <w:sz w:val="20"/>
        </w:rPr>
        <w:t>10 lipca</w:t>
      </w:r>
      <w:r>
        <w:rPr>
          <w:rFonts w:ascii="Trebuchet MS" w:hAnsi="Trebuchet MS" w:cs="Arial"/>
          <w:b/>
          <w:sz w:val="20"/>
        </w:rPr>
        <w:t xml:space="preserve">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:rsidR="00E5483A" w:rsidRPr="00CC5A73" w:rsidRDefault="00E5483A" w:rsidP="00E5483A">
      <w:pPr>
        <w:pStyle w:val="Tekstpodstawowy"/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eastAsia="Calibri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eastAsia="Calibri" w:hAnsi="Trebuchet MS"/>
          <w:sz w:val="20"/>
        </w:rPr>
        <w:t>t.j</w:t>
      </w:r>
      <w:proofErr w:type="spellEnd"/>
      <w:r w:rsidRPr="00CC5A73">
        <w:rPr>
          <w:rFonts w:ascii="Trebuchet MS" w:eastAsia="Calibri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eastAsia="Calibri" w:hAnsi="Trebuchet MS"/>
          <w:sz w:val="20"/>
        </w:rPr>
        <w:t>późn</w:t>
      </w:r>
      <w:proofErr w:type="spellEnd"/>
      <w:r w:rsidRPr="00CC5A73">
        <w:rPr>
          <w:rFonts w:ascii="Trebuchet MS" w:eastAsia="Calibri" w:hAnsi="Trebuchet MS"/>
          <w:sz w:val="20"/>
        </w:rPr>
        <w:t>. zm.) lub za pośrednictwem p</w:t>
      </w:r>
      <w:r>
        <w:rPr>
          <w:rFonts w:ascii="Trebuchet MS" w:eastAsia="Calibri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eastAsia="Calibri" w:hAnsi="Trebuchet MS"/>
          <w:sz w:val="20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eastAsia="Calibri" w:hAnsi="Trebuchet MS"/>
          <w:sz w:val="20"/>
        </w:rPr>
        <w:br/>
      </w:r>
      <w:r w:rsidRPr="00CC5A73">
        <w:rPr>
          <w:rFonts w:ascii="Trebuchet MS" w:eastAsia="Calibri" w:hAnsi="Trebuchet MS"/>
          <w:sz w:val="20"/>
        </w:rPr>
        <w:t>i życia ludzkiego (dotyczy to r</w:t>
      </w:r>
      <w:r>
        <w:rPr>
          <w:rFonts w:ascii="Trebuchet MS" w:eastAsia="Calibri" w:hAnsi="Trebuchet MS"/>
          <w:sz w:val="20"/>
        </w:rPr>
        <w:t>ównież osoby będącej posłańcem).</w:t>
      </w:r>
    </w:p>
    <w:p w:rsidR="00E5483A" w:rsidRPr="007E312E" w:rsidRDefault="00E5483A" w:rsidP="00E5483A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C554FD">
        <w:rPr>
          <w:rFonts w:ascii="Trebuchet MS" w:eastAsia="Calibri" w:hAnsi="Trebuchet MS" w:cs="Arial"/>
          <w:b/>
          <w:sz w:val="20"/>
        </w:rPr>
        <w:t xml:space="preserve"> 10 lipca 2020</w:t>
      </w:r>
      <w:r>
        <w:rPr>
          <w:rFonts w:ascii="Trebuchet MS" w:eastAsia="Calibri" w:hAnsi="Trebuchet MS" w:cs="Arial"/>
          <w:b/>
          <w:sz w:val="20"/>
        </w:rPr>
        <w:t xml:space="preserve">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 w:rsidR="00C554FD">
        <w:rPr>
          <w:rFonts w:ascii="Trebuchet MS" w:eastAsia="Calibri" w:hAnsi="Trebuchet MS" w:cs="Arial"/>
          <w:b/>
          <w:sz w:val="20"/>
        </w:rPr>
        <w:t xml:space="preserve"> 11:1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C234AC" w:rsidRDefault="00C234A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nie spełnia warunku udziału w postepowaniu,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FF625F" w:rsidRPr="0062255D" w:rsidRDefault="00BA2CCC" w:rsidP="0062255D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5F3CEF">
        <w:rPr>
          <w:rFonts w:ascii="Trebuchet MS" w:hAnsi="Trebuchet MS"/>
          <w:sz w:val="20"/>
          <w:szCs w:val="20"/>
        </w:rPr>
        <w:t>go określa Załącznik nr 4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="0062255D">
        <w:rPr>
          <w:rFonts w:ascii="Trebuchet MS" w:eastAsia="Calibri" w:hAnsi="Trebuchet MS" w:cs="Angsana New"/>
          <w:sz w:val="20"/>
          <w:szCs w:val="20"/>
        </w:rPr>
        <w:t xml:space="preserve"> z </w:t>
      </w:r>
      <w:proofErr w:type="spellStart"/>
      <w:r w:rsidR="0062255D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="0062255D">
        <w:rPr>
          <w:rFonts w:ascii="Trebuchet MS" w:eastAsia="Calibri" w:hAnsi="Trebuchet MS" w:cs="Angsana New"/>
          <w:sz w:val="20"/>
          <w:szCs w:val="20"/>
        </w:rPr>
        <w:t>. zm.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EA742F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Wykaz osób</w:t>
      </w:r>
    </w:p>
    <w:p w:rsidR="00BA2CCC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348C2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BDB2C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37980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46B0"/>
    <w:rsid w:val="001351B3"/>
    <w:rsid w:val="00156BFD"/>
    <w:rsid w:val="00165DFC"/>
    <w:rsid w:val="001E30E2"/>
    <w:rsid w:val="00205B74"/>
    <w:rsid w:val="002104D5"/>
    <w:rsid w:val="0021223A"/>
    <w:rsid w:val="002147B9"/>
    <w:rsid w:val="002605A7"/>
    <w:rsid w:val="00262B6A"/>
    <w:rsid w:val="00266300"/>
    <w:rsid w:val="002D49CB"/>
    <w:rsid w:val="002E0BEA"/>
    <w:rsid w:val="002F132E"/>
    <w:rsid w:val="002F1A50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16FC"/>
    <w:rsid w:val="0051041A"/>
    <w:rsid w:val="00517B96"/>
    <w:rsid w:val="00560112"/>
    <w:rsid w:val="00566E65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55D"/>
    <w:rsid w:val="006226F7"/>
    <w:rsid w:val="006519A4"/>
    <w:rsid w:val="006632C5"/>
    <w:rsid w:val="00672991"/>
    <w:rsid w:val="00694898"/>
    <w:rsid w:val="006D79E6"/>
    <w:rsid w:val="006F21BA"/>
    <w:rsid w:val="006F2D50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1A24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34AC"/>
    <w:rsid w:val="00C26C4F"/>
    <w:rsid w:val="00C3271D"/>
    <w:rsid w:val="00C554F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483A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0F62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A11F6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8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3624</Words>
  <Characters>21748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6</cp:revision>
  <cp:lastPrinted>2020-06-30T06:36:00Z</cp:lastPrinted>
  <dcterms:created xsi:type="dcterms:W3CDTF">2020-06-15T11:21:00Z</dcterms:created>
  <dcterms:modified xsi:type="dcterms:W3CDTF">2020-06-30T06:38:00Z</dcterms:modified>
</cp:coreProperties>
</file>