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22" w:rsidRPr="008F00FC" w:rsidRDefault="00181422" w:rsidP="00181422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9D5651">
        <w:rPr>
          <w:rFonts w:ascii="Trebuchet MS" w:hAnsi="Trebuchet MS" w:cs="Times New Roman"/>
        </w:rPr>
        <w:t>.26</w:t>
      </w:r>
      <w:r w:rsidR="00C27F79">
        <w:rPr>
          <w:rFonts w:ascii="Trebuchet MS" w:hAnsi="Trebuchet MS" w:cs="Times New Roman"/>
        </w:rPr>
        <w:t>.2020</w:t>
      </w:r>
    </w:p>
    <w:p w:rsidR="00181422" w:rsidRPr="008F00FC" w:rsidRDefault="00181422" w:rsidP="00181422">
      <w:pPr>
        <w:rPr>
          <w:rFonts w:ascii="Trebuchet MS" w:hAnsi="Trebuchet MS"/>
          <w:b/>
          <w:sz w:val="20"/>
          <w:szCs w:val="20"/>
        </w:rPr>
      </w:pP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181422" w:rsidRPr="00C462FF" w:rsidRDefault="00181422" w:rsidP="00181422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70E2" w:rsidRDefault="00B470E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</w:p>
    <w:p w:rsidR="00FD6E76" w:rsidRPr="00E43462" w:rsidRDefault="00FD6E76" w:rsidP="00FD6E76">
      <w:pPr>
        <w:spacing w:line="276" w:lineRule="auto"/>
        <w:jc w:val="center"/>
        <w:rPr>
          <w:rFonts w:ascii="Trebuchet MS" w:hAnsi="Trebuchet MS"/>
          <w:b/>
          <w:szCs w:val="20"/>
        </w:rPr>
      </w:pPr>
    </w:p>
    <w:p w:rsidR="00E312E1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SPECYFIKACJA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ISTOTNYCH WARUNKÓW ZAMÓWIENIA</w:t>
      </w:r>
    </w:p>
    <w:p w:rsidR="00A36882" w:rsidRDefault="00A36882" w:rsidP="00367CF0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(zwana dalej SIWZ)</w:t>
      </w: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DLA ZAMÓWIENIA PROWADZONEGO W TRYBIE PRZETARGU NIEOGRANICZONEGO</w:t>
      </w:r>
    </w:p>
    <w:p w:rsidR="002A5DA8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wartości zamówienia mniejszej niż kwoty określone w przepisach wydanych na podstawie </w:t>
      </w:r>
      <w:r w:rsidR="007723DD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  <w:r w:rsidR="00101887">
        <w:rPr>
          <w:rFonts w:ascii="Trebuchet MS" w:hAnsi="Trebuchet MS"/>
          <w:sz w:val="20"/>
          <w:szCs w:val="20"/>
        </w:rPr>
        <w:t xml:space="preserve"> (Dz. U. z 2019r. poz. 1843</w:t>
      </w:r>
      <w:r w:rsidR="007723DD">
        <w:rPr>
          <w:rFonts w:ascii="Trebuchet MS" w:hAnsi="Trebuchet MS"/>
          <w:sz w:val="20"/>
          <w:szCs w:val="20"/>
        </w:rPr>
        <w:t>)</w:t>
      </w:r>
    </w:p>
    <w:p w:rsidR="00FD6E76" w:rsidRDefault="00FD6E76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A5DA8" w:rsidRPr="00FD6E76" w:rsidRDefault="002A5DA8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528D7" w:rsidRDefault="00C97305" w:rsidP="00E53631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Zakup wraz z dostawą</w:t>
      </w:r>
      <w:r w:rsidR="00C27F79">
        <w:rPr>
          <w:rFonts w:ascii="Trebuchet MS" w:hAnsi="Trebuchet MS"/>
          <w:b/>
          <w:sz w:val="28"/>
          <w:szCs w:val="20"/>
        </w:rPr>
        <w:t xml:space="preserve"> środków ochrony osobistej dla</w:t>
      </w:r>
      <w:r w:rsidR="00C27F79">
        <w:rPr>
          <w:rFonts w:ascii="Trebuchet MS" w:hAnsi="Trebuchet MS"/>
          <w:b/>
          <w:sz w:val="28"/>
          <w:szCs w:val="20"/>
        </w:rPr>
        <w:br/>
        <w:t xml:space="preserve"> Miejskiego Ośrodka</w:t>
      </w:r>
      <w:r w:rsidR="00E74739">
        <w:rPr>
          <w:rFonts w:ascii="Trebuchet MS" w:hAnsi="Trebuchet MS"/>
          <w:b/>
          <w:sz w:val="28"/>
          <w:szCs w:val="20"/>
        </w:rPr>
        <w:t xml:space="preserve"> Pomocy Społecznej w Bielsku - </w:t>
      </w:r>
      <w:r w:rsidR="00E50FE2">
        <w:rPr>
          <w:rFonts w:ascii="Trebuchet MS" w:hAnsi="Trebuchet MS"/>
          <w:b/>
          <w:sz w:val="28"/>
          <w:szCs w:val="20"/>
        </w:rPr>
        <w:t xml:space="preserve">Białej. </w:t>
      </w:r>
    </w:p>
    <w:p w:rsidR="00B470E2" w:rsidRPr="00E43462" w:rsidRDefault="00B470E2" w:rsidP="002528D7">
      <w:pPr>
        <w:spacing w:line="276" w:lineRule="auto"/>
        <w:rPr>
          <w:rFonts w:ascii="Trebuchet MS" w:hAnsi="Trebuchet MS"/>
          <w:b/>
          <w:sz w:val="28"/>
          <w:szCs w:val="20"/>
        </w:rPr>
      </w:pP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067D2F" w:rsidRPr="00FD6E76" w:rsidRDefault="00067D2F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Zatwierdzona przez: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367CF0" w:rsidRDefault="00E7036D" w:rsidP="00367CF0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</w:t>
      </w:r>
      <w:r w:rsidR="00367CF0">
        <w:rPr>
          <w:rFonts w:ascii="Trebuchet MS" w:eastAsia="Times New Roman" w:hAnsi="Trebuchet MS" w:cs="Lucida Sans Unicode"/>
          <w:sz w:val="20"/>
          <w:szCs w:val="20"/>
          <w:lang w:eastAsia="pl-PL"/>
        </w:rPr>
        <w:t>/podpis Kierownika Zamawiającego</w:t>
      </w:r>
    </w:p>
    <w:p w:rsidR="00E7036D" w:rsidRPr="00E7036D" w:rsidRDefault="00E7036D" w:rsidP="00367CF0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E7036D" w:rsidRDefault="00EA1941" w:rsidP="00EA1941">
      <w:pPr>
        <w:tabs>
          <w:tab w:val="left" w:pos="1665"/>
        </w:tabs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</w:p>
    <w:p w:rsidR="00EA1941" w:rsidRDefault="00EA1941" w:rsidP="00EA1941">
      <w:pPr>
        <w:tabs>
          <w:tab w:val="left" w:pos="1665"/>
        </w:tabs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367CF0" w:rsidRDefault="00367CF0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367CF0" w:rsidRDefault="00367CF0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lastRenderedPageBreak/>
        <w:t>Wykaz załączników</w:t>
      </w:r>
      <w:r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</w:t>
      </w:r>
      <w:r w:rsidR="0018078F">
        <w:rPr>
          <w:rFonts w:ascii="Trebuchet MS" w:hAnsi="Trebuchet MS"/>
          <w:sz w:val="20"/>
          <w:szCs w:val="20"/>
        </w:rPr>
        <w:t>ącznik n</w:t>
      </w:r>
      <w:r w:rsidR="0027748C">
        <w:rPr>
          <w:rFonts w:ascii="Trebuchet MS" w:hAnsi="Trebuchet MS"/>
          <w:sz w:val="20"/>
          <w:szCs w:val="20"/>
        </w:rPr>
        <w:t>r 1 – formularz ofertowy</w:t>
      </w:r>
      <w:r w:rsidR="00C27F79">
        <w:rPr>
          <w:rFonts w:ascii="Trebuchet MS" w:hAnsi="Trebuchet MS"/>
          <w:sz w:val="20"/>
          <w:szCs w:val="20"/>
        </w:rPr>
        <w:t xml:space="preserve"> </w:t>
      </w:r>
      <w:r w:rsidR="00D53AA8">
        <w:rPr>
          <w:rFonts w:ascii="Trebuchet MS" w:hAnsi="Trebuchet MS"/>
          <w:sz w:val="20"/>
          <w:szCs w:val="20"/>
        </w:rPr>
        <w:t xml:space="preserve"> 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D53AA8">
        <w:rPr>
          <w:rFonts w:ascii="Trebuchet MS" w:hAnsi="Trebuchet MS"/>
          <w:sz w:val="20"/>
          <w:szCs w:val="20"/>
        </w:rPr>
        <w:t xml:space="preserve"> – cennik</w:t>
      </w:r>
      <w:r w:rsidR="00FC0E50">
        <w:rPr>
          <w:rFonts w:ascii="Trebuchet MS" w:hAnsi="Trebuchet MS"/>
          <w:sz w:val="20"/>
          <w:szCs w:val="20"/>
        </w:rPr>
        <w:t>- wykaz asortymentowy</w:t>
      </w:r>
      <w:r w:rsidR="00C27F79">
        <w:rPr>
          <w:rFonts w:ascii="Trebuchet MS" w:hAnsi="Trebuchet MS"/>
          <w:sz w:val="20"/>
          <w:szCs w:val="20"/>
        </w:rPr>
        <w:t xml:space="preserve"> 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27748C">
        <w:rPr>
          <w:rFonts w:ascii="Trebuchet MS" w:hAnsi="Trebuchet MS"/>
          <w:sz w:val="20"/>
          <w:szCs w:val="20"/>
        </w:rPr>
        <w:t xml:space="preserve"> – opis przedmiotu zamówienia</w:t>
      </w:r>
      <w:r w:rsidR="00C27F79">
        <w:rPr>
          <w:rFonts w:ascii="Trebuchet MS" w:hAnsi="Trebuchet MS"/>
          <w:sz w:val="20"/>
          <w:szCs w:val="20"/>
        </w:rPr>
        <w:t xml:space="preserve"> </w:t>
      </w:r>
    </w:p>
    <w:p w:rsidR="0095121F" w:rsidRDefault="00C97305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</w:t>
      </w:r>
      <w:r w:rsidR="0027748C">
        <w:rPr>
          <w:rFonts w:ascii="Trebuchet MS" w:hAnsi="Trebuchet MS"/>
          <w:sz w:val="20"/>
          <w:szCs w:val="20"/>
        </w:rPr>
        <w:t xml:space="preserve"> projekt umowy</w:t>
      </w:r>
    </w:p>
    <w:p w:rsidR="0095121F" w:rsidRDefault="00D53AA8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 – oświadczenie o braku podstaw do wykluczenia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E43462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Pr="00FD6E76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AB26B9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lastRenderedPageBreak/>
        <w:t>Część I – Nazwa i adres Zamawiającego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95121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FD6E76">
        <w:rPr>
          <w:rFonts w:ascii="Trebuchet MS" w:hAnsi="Trebuchet MS"/>
          <w:sz w:val="20"/>
          <w:szCs w:val="20"/>
        </w:rPr>
        <w:t xml:space="preserve">Strona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8E0B9D" w:rsidRDefault="00337EC4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8E0B9D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8E0B9D">
        <w:rPr>
          <w:rFonts w:ascii="Trebuchet MS" w:hAnsi="Trebuchet MS"/>
          <w:sz w:val="20"/>
          <w:szCs w:val="20"/>
          <w:lang w:val="en-US"/>
        </w:rPr>
        <w:t xml:space="preserve"> e-m</w:t>
      </w:r>
      <w:r w:rsidR="00FD6E76" w:rsidRPr="008E0B9D">
        <w:rPr>
          <w:rFonts w:ascii="Trebuchet MS" w:hAnsi="Trebuchet MS"/>
          <w:sz w:val="20"/>
          <w:szCs w:val="20"/>
          <w:lang w:val="en-US"/>
        </w:rPr>
        <w:t>ail: sekretariat@mops.bielsko.pl</w:t>
      </w:r>
    </w:p>
    <w:p w:rsidR="00AB26B9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:rsidR="00D575C4" w:rsidRPr="008E0B9D" w:rsidRDefault="00D575C4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:rsidR="00102085" w:rsidRPr="00FD6E76" w:rsidRDefault="00102085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406665" w:rsidRDefault="00102085" w:rsidP="0040666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</w:t>
      </w:r>
      <w:r w:rsidR="006C4BEB">
        <w:rPr>
          <w:rFonts w:ascii="Trebuchet MS" w:hAnsi="Trebuchet MS"/>
          <w:sz w:val="20"/>
          <w:szCs w:val="20"/>
        </w:rPr>
        <w:t xml:space="preserve">, zgodnie z art. 39 ustawy </w:t>
      </w:r>
      <w:r w:rsidRPr="00FD6E76">
        <w:rPr>
          <w:rFonts w:ascii="Trebuchet MS" w:hAnsi="Trebuchet MS"/>
          <w:sz w:val="20"/>
          <w:szCs w:val="20"/>
        </w:rPr>
        <w:t xml:space="preserve"> z dnia 29 stycznia 2</w:t>
      </w:r>
      <w:r w:rsidR="00406665">
        <w:rPr>
          <w:rFonts w:ascii="Trebuchet MS" w:hAnsi="Trebuchet MS"/>
          <w:sz w:val="20"/>
          <w:szCs w:val="20"/>
        </w:rPr>
        <w:t xml:space="preserve">004 r., zwanej dalej ustawą </w:t>
      </w:r>
      <w:proofErr w:type="spellStart"/>
      <w:r w:rsidR="00406665">
        <w:rPr>
          <w:rFonts w:ascii="Trebuchet MS" w:hAnsi="Trebuchet MS"/>
          <w:sz w:val="20"/>
          <w:szCs w:val="20"/>
        </w:rPr>
        <w:t>Pzp</w:t>
      </w:r>
      <w:proofErr w:type="spellEnd"/>
      <w:r w:rsidR="00406665">
        <w:rPr>
          <w:rFonts w:ascii="Trebuchet MS" w:hAnsi="Trebuchet MS"/>
          <w:sz w:val="20"/>
          <w:szCs w:val="20"/>
        </w:rPr>
        <w:t>.</w:t>
      </w:r>
      <w:r w:rsidR="00696640">
        <w:rPr>
          <w:rFonts w:ascii="Trebuchet MS" w:hAnsi="Trebuchet MS"/>
          <w:sz w:val="20"/>
          <w:szCs w:val="20"/>
        </w:rPr>
        <w:br/>
      </w:r>
      <w:r w:rsidR="001A256F">
        <w:rPr>
          <w:rFonts w:ascii="Trebuchet MS" w:hAnsi="Trebuchet MS"/>
          <w:sz w:val="20"/>
          <w:szCs w:val="20"/>
        </w:rPr>
        <w:t>(Dz. U. z 2019 poz.1843).</w:t>
      </w:r>
    </w:p>
    <w:p w:rsidR="00B30627" w:rsidRPr="00FD6E76" w:rsidRDefault="007723DD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zakresie nieuregulowanym niniejszą SIWZ, zastosowanie mają przepisy ustawy </w:t>
      </w:r>
      <w:proofErr w:type="spellStart"/>
      <w:r w:rsidRPr="00FD6E76">
        <w:rPr>
          <w:rFonts w:ascii="Trebuchet MS" w:hAnsi="Trebuchet MS"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sz w:val="20"/>
          <w:szCs w:val="20"/>
        </w:rPr>
        <w:t xml:space="preserve"> oraz Kodeksu Cywilnego.</w:t>
      </w:r>
    </w:p>
    <w:p w:rsidR="00217788" w:rsidRDefault="00217788" w:rsidP="00E07444">
      <w:pPr>
        <w:spacing w:line="276" w:lineRule="auto"/>
        <w:jc w:val="both"/>
        <w:rPr>
          <w:rFonts w:ascii="Trebuchet MS" w:hAnsi="Trebuchet MS"/>
          <w:b/>
          <w:szCs w:val="20"/>
        </w:rPr>
      </w:pPr>
    </w:p>
    <w:p w:rsidR="00E07444" w:rsidRDefault="00A953EA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III – Opis przedmiotu zamówienia</w:t>
      </w:r>
    </w:p>
    <w:p w:rsidR="007723DD" w:rsidRDefault="007723DD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:rsidR="00E07444" w:rsidRPr="007723DD" w:rsidRDefault="00E07444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Kod CPV </w:t>
      </w:r>
      <w:r w:rsidR="00C27F79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</w:t>
      </w:r>
      <w:r w:rsidR="00CB1D78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1</w:t>
      </w:r>
      <w:r w:rsidR="000A7C66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8424300-0 rękawice jednorazowe,</w:t>
      </w:r>
      <w:r w:rsidR="00F617E6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35113400- 3 odzież ochronna i zabezpieczająca</w:t>
      </w:r>
      <w:r w:rsidR="00FD03C4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, 18143000-3 akcesoria ochronne</w:t>
      </w:r>
    </w:p>
    <w:p w:rsidR="003B24E9" w:rsidRPr="00FD6E76" w:rsidRDefault="003B24E9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B4BAA" w:rsidRPr="00C27F79" w:rsidRDefault="003B24E9" w:rsidP="00C27F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</w:t>
      </w:r>
      <w:r w:rsidR="00C27F79">
        <w:rPr>
          <w:rFonts w:ascii="Trebuchet MS" w:hAnsi="Trebuchet MS"/>
          <w:sz w:val="20"/>
          <w:szCs w:val="20"/>
        </w:rPr>
        <w:t xml:space="preserve">dmiotem </w:t>
      </w:r>
      <w:r w:rsidR="00B72C0F">
        <w:rPr>
          <w:rFonts w:ascii="Trebuchet MS" w:hAnsi="Trebuchet MS"/>
          <w:sz w:val="20"/>
          <w:szCs w:val="20"/>
        </w:rPr>
        <w:t xml:space="preserve"> zamówien</w:t>
      </w:r>
      <w:r w:rsidR="00C27F79">
        <w:rPr>
          <w:rFonts w:ascii="Trebuchet MS" w:hAnsi="Trebuchet MS"/>
          <w:sz w:val="20"/>
          <w:szCs w:val="20"/>
        </w:rPr>
        <w:t>ia jest zakup środków ochrony osobistej dla</w:t>
      </w:r>
      <w:r w:rsidR="007E079F">
        <w:rPr>
          <w:rFonts w:ascii="Trebuchet MS" w:hAnsi="Trebuchet MS"/>
          <w:sz w:val="20"/>
          <w:szCs w:val="20"/>
        </w:rPr>
        <w:t xml:space="preserve"> MOPS</w:t>
      </w:r>
      <w:r w:rsidR="00C27F79">
        <w:rPr>
          <w:rFonts w:ascii="Trebuchet MS" w:hAnsi="Trebuchet MS"/>
          <w:sz w:val="20"/>
          <w:szCs w:val="20"/>
        </w:rPr>
        <w:t xml:space="preserve"> w Bielsku-Białej</w:t>
      </w:r>
      <w:r w:rsidR="00014ADA">
        <w:rPr>
          <w:rFonts w:ascii="Trebuchet MS" w:hAnsi="Trebuchet MS"/>
          <w:sz w:val="20"/>
          <w:szCs w:val="20"/>
        </w:rPr>
        <w:br/>
      </w:r>
      <w:r w:rsidR="007C0F57" w:rsidRPr="00C27F79">
        <w:rPr>
          <w:rFonts w:ascii="Trebuchet MS" w:hAnsi="Trebuchet MS"/>
          <w:sz w:val="20"/>
          <w:szCs w:val="20"/>
        </w:rPr>
        <w:t xml:space="preserve">wraz z dostawą </w:t>
      </w:r>
      <w:r w:rsidR="00014ADA">
        <w:rPr>
          <w:rFonts w:ascii="Trebuchet MS" w:hAnsi="Trebuchet MS"/>
          <w:sz w:val="20"/>
          <w:szCs w:val="20"/>
        </w:rPr>
        <w:t xml:space="preserve"> </w:t>
      </w:r>
      <w:r w:rsidR="007C0F57" w:rsidRPr="00C27F79">
        <w:rPr>
          <w:rFonts w:ascii="Trebuchet MS" w:hAnsi="Trebuchet MS"/>
          <w:sz w:val="20"/>
          <w:szCs w:val="20"/>
        </w:rPr>
        <w:t>i rozładunkiem przez Wykonawcę w siedzibie Zamawiająceg</w:t>
      </w:r>
      <w:r w:rsidR="00014ADA">
        <w:rPr>
          <w:rFonts w:ascii="Trebuchet MS" w:hAnsi="Trebuchet MS"/>
          <w:sz w:val="20"/>
          <w:szCs w:val="20"/>
        </w:rPr>
        <w:t xml:space="preserve">o na ulicy </w:t>
      </w:r>
      <w:r w:rsidR="00014ADA">
        <w:rPr>
          <w:rFonts w:ascii="Trebuchet MS" w:hAnsi="Trebuchet MS"/>
          <w:sz w:val="20"/>
          <w:szCs w:val="20"/>
        </w:rPr>
        <w:br/>
        <w:t>K. Miarki 11</w:t>
      </w:r>
      <w:r w:rsidR="00DF449C" w:rsidRPr="00C27F79">
        <w:rPr>
          <w:rFonts w:ascii="Trebuchet MS" w:hAnsi="Trebuchet MS"/>
          <w:sz w:val="20"/>
          <w:szCs w:val="20"/>
        </w:rPr>
        <w:t xml:space="preserve"> </w:t>
      </w:r>
      <w:r w:rsidR="00E74739">
        <w:rPr>
          <w:rFonts w:ascii="Trebuchet MS" w:hAnsi="Trebuchet MS"/>
          <w:sz w:val="20"/>
          <w:szCs w:val="20"/>
        </w:rPr>
        <w:t>w miejscu wskazanym przez Zamawiającego.</w:t>
      </w:r>
      <w:r w:rsidR="00FB4BAA" w:rsidRPr="00C27F79">
        <w:rPr>
          <w:rFonts w:ascii="Trebuchet MS" w:hAnsi="Trebuchet MS"/>
          <w:sz w:val="20"/>
          <w:szCs w:val="20"/>
        </w:rPr>
        <w:t xml:space="preserve">                                                          </w:t>
      </w:r>
    </w:p>
    <w:p w:rsidR="00FC0E50" w:rsidRDefault="00FB4BAA" w:rsidP="006466A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Szczegółowy opis przedmiot</w:t>
      </w:r>
      <w:r w:rsidR="006466A8">
        <w:rPr>
          <w:rFonts w:ascii="Trebuchet MS" w:hAnsi="Trebuchet MS"/>
          <w:sz w:val="20"/>
          <w:szCs w:val="20"/>
        </w:rPr>
        <w:t>u zamówienia określony został w ninie</w:t>
      </w:r>
      <w:r w:rsidR="00BA0216">
        <w:rPr>
          <w:rFonts w:ascii="Trebuchet MS" w:hAnsi="Trebuchet MS"/>
          <w:sz w:val="20"/>
          <w:szCs w:val="20"/>
        </w:rPr>
        <w:t>jszej SIWZ i jej załącznikach</w:t>
      </w:r>
      <w:r w:rsidR="00733563">
        <w:rPr>
          <w:rFonts w:ascii="Trebuchet MS" w:hAnsi="Trebuchet MS"/>
          <w:sz w:val="20"/>
          <w:szCs w:val="20"/>
        </w:rPr>
        <w:t>:</w:t>
      </w:r>
      <w:r w:rsidR="00FC0E50">
        <w:rPr>
          <w:rFonts w:ascii="Trebuchet MS" w:hAnsi="Trebuchet MS"/>
          <w:sz w:val="20"/>
          <w:szCs w:val="20"/>
        </w:rPr>
        <w:t xml:space="preserve"> </w:t>
      </w:r>
    </w:p>
    <w:p w:rsidR="00FC0E50" w:rsidRDefault="00FC0E50" w:rsidP="00FC0E50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</w:t>
      </w:r>
      <w:r w:rsidR="00BA0216">
        <w:rPr>
          <w:rFonts w:ascii="Trebuchet MS" w:hAnsi="Trebuchet MS"/>
          <w:sz w:val="20"/>
          <w:szCs w:val="20"/>
        </w:rPr>
        <w:t>.1</w:t>
      </w:r>
      <w:r w:rsidR="006466A8">
        <w:rPr>
          <w:rFonts w:ascii="Trebuchet MS" w:hAnsi="Trebuchet MS"/>
          <w:sz w:val="20"/>
          <w:szCs w:val="20"/>
        </w:rPr>
        <w:t>.Załącznik</w:t>
      </w:r>
      <w:r w:rsidR="00D53AA8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nr 1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>- formularz ofer</w:t>
      </w:r>
      <w:r w:rsidR="00C27F79">
        <w:rPr>
          <w:rFonts w:ascii="Trebuchet MS" w:hAnsi="Trebuchet MS"/>
          <w:sz w:val="20"/>
          <w:szCs w:val="20"/>
        </w:rPr>
        <w:t xml:space="preserve">towy </w:t>
      </w:r>
    </w:p>
    <w:p w:rsidR="00FC0E50" w:rsidRDefault="00FC0E50" w:rsidP="00FC0E50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3.2.Załącznik nr 2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 xml:space="preserve">- cennik- </w:t>
      </w:r>
      <w:r w:rsidR="00C27F79">
        <w:rPr>
          <w:rFonts w:ascii="Trebuchet MS" w:hAnsi="Trebuchet MS"/>
          <w:sz w:val="20"/>
          <w:szCs w:val="20"/>
        </w:rPr>
        <w:t xml:space="preserve">wykaz asortymentowy </w:t>
      </w:r>
    </w:p>
    <w:p w:rsidR="00C62867" w:rsidRPr="006466A8" w:rsidRDefault="00FC0E50" w:rsidP="00DB069D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3.3.Załącznik nr 3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 xml:space="preserve">- opis </w:t>
      </w:r>
      <w:r w:rsidR="00DB069D">
        <w:rPr>
          <w:rFonts w:ascii="Trebuchet MS" w:hAnsi="Trebuchet MS"/>
          <w:sz w:val="20"/>
          <w:szCs w:val="20"/>
        </w:rPr>
        <w:t>p</w:t>
      </w:r>
      <w:r w:rsidR="00C27F79">
        <w:rPr>
          <w:rFonts w:ascii="Trebuchet MS" w:hAnsi="Trebuchet MS"/>
          <w:sz w:val="20"/>
          <w:szCs w:val="20"/>
        </w:rPr>
        <w:t xml:space="preserve">rzedmiotu zamówienia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określony przez Zamawiającego powinien posiadać cechy artykułu wzorcowego lub równoważnego opisywanym.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musi zostać zrealizowany dla każdego z asortymentów wymienionych przez Zamawiającego.                                  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nie dopuszcza pominięcia którejkolwiek z wyszczególnionych pozycji wymienionych w wykazie asortymentowym.                                                                             </w:t>
      </w:r>
    </w:p>
    <w:p w:rsidR="00C862FF" w:rsidRDefault="008D538D" w:rsidP="00A91165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wymaga,</w:t>
      </w:r>
      <w:r w:rsidR="00014ADA">
        <w:rPr>
          <w:rFonts w:ascii="Trebuchet MS" w:hAnsi="Trebuchet MS"/>
          <w:sz w:val="20"/>
          <w:szCs w:val="20"/>
        </w:rPr>
        <w:t xml:space="preserve"> aby wszystkie </w:t>
      </w:r>
      <w:r w:rsidR="00363547">
        <w:rPr>
          <w:rFonts w:ascii="Trebuchet MS" w:hAnsi="Trebuchet MS"/>
          <w:sz w:val="20"/>
          <w:szCs w:val="20"/>
        </w:rPr>
        <w:t xml:space="preserve"> </w:t>
      </w:r>
      <w:r w:rsidR="00014ADA">
        <w:rPr>
          <w:rFonts w:ascii="Trebuchet MS" w:hAnsi="Trebuchet MS"/>
          <w:sz w:val="20"/>
          <w:szCs w:val="20"/>
        </w:rPr>
        <w:t xml:space="preserve">środki ochrony osobistej </w:t>
      </w:r>
      <w:r w:rsidR="00A732C8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stanowiące przedmiot zamówienia</w:t>
      </w:r>
      <w:r w:rsidR="00A91165">
        <w:rPr>
          <w:rFonts w:ascii="Trebuchet MS" w:hAnsi="Trebuchet MS"/>
          <w:sz w:val="20"/>
          <w:szCs w:val="20"/>
        </w:rPr>
        <w:t xml:space="preserve"> były nowe, kompletne oraz posiadały wymagane prawem atesty i certyfikaty.</w:t>
      </w:r>
    </w:p>
    <w:p w:rsidR="00D55B15" w:rsidRPr="002A564A" w:rsidRDefault="00D55B15" w:rsidP="002A564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realizacji dostaw będzie zgodny z terminem zadeklarowanym przez Wykonawcę </w:t>
      </w:r>
      <w:r w:rsidRPr="002A564A">
        <w:rPr>
          <w:rFonts w:ascii="Trebuchet MS" w:hAnsi="Trebuchet MS"/>
          <w:sz w:val="20"/>
          <w:szCs w:val="20"/>
        </w:rPr>
        <w:t>w ofercie.</w:t>
      </w:r>
    </w:p>
    <w:p w:rsidR="00AF7766" w:rsidRPr="00FD6E76" w:rsidRDefault="00AF7766" w:rsidP="00FD6E76">
      <w:pPr>
        <w:pStyle w:val="Akapitzlis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65171C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FD6E76">
        <w:rPr>
          <w:rFonts w:ascii="Trebuchet MS" w:hAnsi="Trebuchet MS" w:cs="Times New Roman"/>
          <w:b/>
          <w:i/>
          <w:sz w:val="20"/>
          <w:szCs w:val="20"/>
        </w:rPr>
        <w:t xml:space="preserve">     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U</w:t>
      </w:r>
      <w:r w:rsidRPr="00FD6E76">
        <w:rPr>
          <w:rFonts w:ascii="Trebuchet MS" w:hAnsi="Trebuchet MS" w:cs="Times New Roman"/>
          <w:b/>
          <w:i/>
          <w:sz w:val="20"/>
          <w:szCs w:val="20"/>
        </w:rPr>
        <w:t>WAGA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:</w:t>
      </w:r>
    </w:p>
    <w:p w:rsidR="0065171C" w:rsidRPr="00044997" w:rsidRDefault="0065171C" w:rsidP="00044997">
      <w:p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0277B" w:rsidRPr="00733563" w:rsidRDefault="0003060E" w:rsidP="0073356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3A4C9F">
        <w:rPr>
          <w:rFonts w:ascii="Trebuchet MS" w:hAnsi="Trebuchet MS"/>
          <w:i/>
          <w:sz w:val="20"/>
          <w:szCs w:val="20"/>
        </w:rPr>
        <w:t>w SIWZ bądź jej załączni</w:t>
      </w:r>
      <w:r w:rsidR="004E170C">
        <w:rPr>
          <w:rFonts w:ascii="Trebuchet MS" w:hAnsi="Trebuchet MS"/>
          <w:i/>
          <w:sz w:val="20"/>
          <w:szCs w:val="20"/>
        </w:rPr>
        <w:t>ków.</w:t>
      </w:r>
    </w:p>
    <w:p w:rsidR="0008539E" w:rsidRPr="00733563" w:rsidRDefault="00EC1A29" w:rsidP="008028BF">
      <w:pPr>
        <w:spacing w:after="0" w:line="276" w:lineRule="auto"/>
        <w:jc w:val="center"/>
        <w:rPr>
          <w:rFonts w:ascii="Trebuchet MS" w:hAnsi="Trebuchet MS"/>
          <w:szCs w:val="20"/>
        </w:rPr>
      </w:pPr>
      <w:r w:rsidRPr="00733563">
        <w:rPr>
          <w:rFonts w:ascii="Trebuchet MS" w:hAnsi="Trebuchet MS"/>
          <w:b/>
          <w:szCs w:val="20"/>
        </w:rPr>
        <w:t>Część IV - Termin wykonania zamówienia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43462" w:rsidRPr="00A7212B" w:rsidRDefault="00A7212B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realizacji zamówienia : </w:t>
      </w:r>
      <w:r>
        <w:rPr>
          <w:rFonts w:ascii="Trebuchet MS" w:hAnsi="Trebuchet MS"/>
          <w:b/>
          <w:sz w:val="20"/>
          <w:szCs w:val="20"/>
        </w:rPr>
        <w:t>od dni</w:t>
      </w:r>
      <w:r w:rsidR="00B37035">
        <w:rPr>
          <w:rFonts w:ascii="Trebuchet MS" w:hAnsi="Trebuchet MS"/>
          <w:b/>
          <w:sz w:val="20"/>
          <w:szCs w:val="20"/>
        </w:rPr>
        <w:t>a podp</w:t>
      </w:r>
      <w:r w:rsidR="00FD03C4">
        <w:rPr>
          <w:rFonts w:ascii="Trebuchet MS" w:hAnsi="Trebuchet MS"/>
          <w:b/>
          <w:sz w:val="20"/>
          <w:szCs w:val="20"/>
        </w:rPr>
        <w:t>isania umowy do 31 grudnia 2020</w:t>
      </w:r>
      <w:r>
        <w:rPr>
          <w:rFonts w:ascii="Trebuchet MS" w:hAnsi="Trebuchet MS"/>
          <w:b/>
          <w:sz w:val="20"/>
          <w:szCs w:val="20"/>
        </w:rPr>
        <w:t xml:space="preserve"> r.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1B7F64" w:rsidRDefault="001B7F64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Część V</w:t>
      </w:r>
    </w:p>
    <w:p w:rsidR="008857AE" w:rsidRPr="001B7F64" w:rsidRDefault="008857AE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 w:rsidRPr="001B7F64">
        <w:rPr>
          <w:rFonts w:ascii="Trebuchet MS" w:hAnsi="Trebuchet MS"/>
          <w:b/>
          <w:szCs w:val="20"/>
        </w:rPr>
        <w:t xml:space="preserve">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EA4369" w:rsidRDefault="00525DA8" w:rsidP="00EA436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O </w:t>
      </w:r>
      <w:r w:rsidR="008857AE" w:rsidRPr="00EA4369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="00EA4369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postępowania na mocy</w:t>
      </w:r>
      <w:r w:rsidR="008857AE" w:rsidRPr="00EA4369">
        <w:rPr>
          <w:rFonts w:ascii="Trebuchet MS" w:hAnsi="Trebuchet MS"/>
          <w:sz w:val="20"/>
          <w:szCs w:val="20"/>
        </w:rPr>
        <w:t xml:space="preserve"> art.</w:t>
      </w:r>
      <w:r w:rsidRPr="00EA4369">
        <w:rPr>
          <w:rFonts w:ascii="Trebuchet MS" w:hAnsi="Trebuchet MS"/>
          <w:sz w:val="20"/>
          <w:szCs w:val="20"/>
        </w:rPr>
        <w:t xml:space="preserve"> 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E2EBF" w:rsidRDefault="00AE2EBF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Cześć VI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Oświadczenia i dokumenty, jakie zobowiązani są dostarczyć Wykonawcy</w:t>
      </w:r>
    </w:p>
    <w:p w:rsidR="00EC1A29" w:rsidRPr="00E027EA" w:rsidRDefault="00BB082D" w:rsidP="00EA4369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w celu wykazania braku podstaw do wyklu</w:t>
      </w:r>
      <w:r w:rsidR="00EA4369">
        <w:rPr>
          <w:rFonts w:ascii="Trebuchet MS" w:hAnsi="Trebuchet MS"/>
          <w:b/>
          <w:sz w:val="22"/>
          <w:szCs w:val="20"/>
        </w:rPr>
        <w:t xml:space="preserve">czenia </w:t>
      </w: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A4369" w:rsidRDefault="00BB082D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</w:t>
      </w:r>
      <w:r w:rsidR="003A4C9F">
        <w:rPr>
          <w:rFonts w:ascii="Trebuchet MS" w:hAnsi="Trebuchet MS"/>
          <w:sz w:val="20"/>
          <w:szCs w:val="20"/>
        </w:rPr>
        <w:t xml:space="preserve">alne na dzień składania ofert  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t>oświadczenie</w:t>
      </w:r>
      <w:r w:rsidRPr="00FD6E76">
        <w:rPr>
          <w:rFonts w:ascii="Trebuchet MS" w:hAnsi="Trebuchet MS"/>
          <w:sz w:val="20"/>
          <w:szCs w:val="20"/>
        </w:rPr>
        <w:t xml:space="preserve"> stanowiące wstępne potwierdzenie</w:t>
      </w:r>
      <w:r w:rsidR="00EA4369">
        <w:rPr>
          <w:rFonts w:ascii="Trebuchet MS" w:hAnsi="Trebuchet MS"/>
          <w:sz w:val="20"/>
          <w:szCs w:val="20"/>
        </w:rPr>
        <w:t>, że Wykonawca nie podlega wykluczen</w:t>
      </w:r>
      <w:r w:rsidR="005E2BA4">
        <w:rPr>
          <w:rFonts w:ascii="Trebuchet MS" w:hAnsi="Trebuchet MS"/>
          <w:sz w:val="20"/>
          <w:szCs w:val="20"/>
        </w:rPr>
        <w:t xml:space="preserve">iu </w:t>
      </w:r>
      <w:r w:rsidR="005E2BA4">
        <w:rPr>
          <w:rFonts w:ascii="Trebuchet MS" w:hAnsi="Trebuchet MS"/>
          <w:sz w:val="20"/>
          <w:szCs w:val="20"/>
        </w:rPr>
        <w:br/>
        <w:t>z postępowania.</w:t>
      </w:r>
    </w:p>
    <w:p w:rsidR="00EA4369" w:rsidRDefault="00EA4369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Oświadczenie, o którym</w:t>
      </w:r>
      <w:r w:rsidR="00CE254E" w:rsidRPr="00EA4369">
        <w:rPr>
          <w:rFonts w:ascii="Trebuchet MS" w:hAnsi="Trebuchet MS"/>
          <w:sz w:val="20"/>
          <w:szCs w:val="20"/>
        </w:rPr>
        <w:t xml:space="preserve"> mowa w punkcie 1 Wykonawca zobowiązany jest złożyć w formie pisemnej wraz z ofertą. Zaleca się</w:t>
      </w:r>
      <w:r>
        <w:rPr>
          <w:rFonts w:ascii="Trebuchet MS" w:hAnsi="Trebuchet MS"/>
          <w:sz w:val="20"/>
          <w:szCs w:val="20"/>
        </w:rPr>
        <w:t xml:space="preserve"> aby dla sporządzenia oświadczenia</w:t>
      </w:r>
      <w:r w:rsidR="00CE254E" w:rsidRPr="00EA4369">
        <w:rPr>
          <w:rFonts w:ascii="Trebuchet MS" w:hAnsi="Trebuchet MS"/>
          <w:sz w:val="20"/>
          <w:szCs w:val="20"/>
        </w:rPr>
        <w:t xml:space="preserve"> Wyk</w:t>
      </w:r>
      <w:r>
        <w:rPr>
          <w:rFonts w:ascii="Trebuchet MS" w:hAnsi="Trebuchet MS"/>
          <w:sz w:val="20"/>
          <w:szCs w:val="20"/>
        </w:rPr>
        <w:t>onawca posłużył się formularzem</w:t>
      </w:r>
      <w:r w:rsidR="00CE254E" w:rsidRPr="00EA4369">
        <w:rPr>
          <w:rFonts w:ascii="Trebuchet MS" w:hAnsi="Trebuchet MS"/>
          <w:sz w:val="20"/>
          <w:szCs w:val="20"/>
        </w:rPr>
        <w:t xml:space="preserve"> zgo</w:t>
      </w:r>
      <w:r>
        <w:rPr>
          <w:rFonts w:ascii="Trebuchet MS" w:hAnsi="Trebuchet MS"/>
          <w:sz w:val="20"/>
          <w:szCs w:val="20"/>
        </w:rPr>
        <w:t>dnym</w:t>
      </w:r>
      <w:r w:rsidR="0056284A" w:rsidRPr="00EA4369">
        <w:rPr>
          <w:rFonts w:ascii="Trebuchet MS" w:hAnsi="Trebuchet MS"/>
          <w:sz w:val="20"/>
          <w:szCs w:val="20"/>
        </w:rPr>
        <w:t xml:space="preserve"> </w:t>
      </w:r>
      <w:r w:rsidR="00594628">
        <w:rPr>
          <w:rFonts w:ascii="Trebuchet MS" w:hAnsi="Trebuchet MS"/>
          <w:sz w:val="20"/>
          <w:szCs w:val="20"/>
        </w:rPr>
        <w:t>z treścią Załącznika nr 5</w:t>
      </w:r>
      <w:r w:rsidR="00CE254E" w:rsidRPr="00EA4369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EA4369">
        <w:rPr>
          <w:rFonts w:ascii="Trebuchet MS" w:hAnsi="Trebuchet MS"/>
          <w:sz w:val="20"/>
          <w:szCs w:val="20"/>
        </w:rPr>
        <w:t>.</w:t>
      </w:r>
    </w:p>
    <w:p w:rsidR="001E6B66" w:rsidRPr="00EA4369" w:rsidRDefault="001E6B66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Wszyscy Wykonawcy w te</w:t>
      </w:r>
      <w:r w:rsidR="00FE37BB">
        <w:rPr>
          <w:rFonts w:ascii="Trebuchet MS" w:hAnsi="Trebuchet MS"/>
          <w:sz w:val="20"/>
          <w:szCs w:val="20"/>
        </w:rPr>
        <w:t>rminie 3 dni od dnia zamieszczenia</w:t>
      </w:r>
      <w:r w:rsidRPr="00EA4369">
        <w:rPr>
          <w:rFonts w:ascii="Trebuchet MS" w:hAnsi="Trebuchet MS"/>
          <w:sz w:val="20"/>
          <w:szCs w:val="20"/>
        </w:rPr>
        <w:t xml:space="preserve"> na stronie internetowej informacji, o której m</w:t>
      </w:r>
      <w:r w:rsidR="00B470E2" w:rsidRPr="00EA4369">
        <w:rPr>
          <w:rFonts w:ascii="Trebuchet MS" w:hAnsi="Trebuchet MS"/>
          <w:sz w:val="20"/>
          <w:szCs w:val="20"/>
        </w:rPr>
        <w:t xml:space="preserve">owa w art. 86 ust. 5 ustawy </w:t>
      </w:r>
      <w:proofErr w:type="spellStart"/>
      <w:r w:rsidR="00B470E2"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 przekazują Zamawiającemu Oświadczenie o przynależności lub braku przynależności do tej samej grupy kapitałowej, </w:t>
      </w:r>
      <w:r w:rsidR="00FE37BB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której mowa w art. 24 ust. 1 pkt 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 Wraz ze złożeniem oświadczenia, Wykonawcy mogą przedstawić dowody, że powiązania z innym Wykonawcą nie prowadzą do zakłócenia konkurencji w postępo</w:t>
      </w:r>
      <w:r w:rsidR="00E027EA" w:rsidRPr="00EA4369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Pr="00FD6E76" w:rsidRDefault="000E5937" w:rsidP="000E5937">
      <w:pPr>
        <w:pStyle w:val="Default"/>
        <w:tabs>
          <w:tab w:val="left" w:pos="1127"/>
        </w:tabs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1E6B66" w:rsidRPr="00FD6E76" w:rsidRDefault="001E6B66" w:rsidP="008740FA">
      <w:pPr>
        <w:pStyle w:val="Default"/>
        <w:spacing w:line="276" w:lineRule="auto"/>
        <w:ind w:left="426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</w:t>
      </w:r>
      <w:proofErr w:type="spellStart"/>
      <w:r w:rsidRPr="00FD6E76">
        <w:rPr>
          <w:rFonts w:ascii="Trebuchet MS" w:hAnsi="Trebuchet MS"/>
          <w:i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i/>
          <w:sz w:val="20"/>
          <w:szCs w:val="20"/>
        </w:rPr>
        <w:t xml:space="preserve">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EA4369" w:rsidRPr="005E2BA4" w:rsidRDefault="00B470E2" w:rsidP="005E2BA4">
      <w:pPr>
        <w:pStyle w:val="Default"/>
        <w:numPr>
          <w:ilvl w:val="8"/>
          <w:numId w:val="9"/>
        </w:numPr>
        <w:spacing w:line="276" w:lineRule="auto"/>
        <w:ind w:left="567" w:hanging="530"/>
        <w:jc w:val="both"/>
        <w:rPr>
          <w:rFonts w:ascii="Trebuchet MS" w:hAnsi="Trebuchet MS"/>
          <w:color w:val="auto"/>
          <w:sz w:val="20"/>
          <w:szCs w:val="20"/>
        </w:rPr>
      </w:pPr>
      <w:r w:rsidRPr="005E2BA4">
        <w:rPr>
          <w:rFonts w:ascii="Trebuchet MS" w:hAnsi="Trebuchet MS"/>
          <w:sz w:val="20"/>
          <w:szCs w:val="20"/>
        </w:rPr>
        <w:t>Wszystkie dokumenty dołączone do oferty sporządzone w języku obcym</w:t>
      </w:r>
      <w:r w:rsidR="005E2BA4">
        <w:rPr>
          <w:rFonts w:ascii="Trebuchet MS" w:hAnsi="Trebuchet MS"/>
          <w:sz w:val="20"/>
          <w:szCs w:val="20"/>
        </w:rPr>
        <w:t>,</w:t>
      </w:r>
      <w:r w:rsidRPr="005E2BA4">
        <w:rPr>
          <w:rFonts w:ascii="Trebuchet MS" w:hAnsi="Trebuchet MS"/>
          <w:sz w:val="20"/>
          <w:szCs w:val="20"/>
        </w:rPr>
        <w:t xml:space="preserve"> składane są wraz </w:t>
      </w:r>
      <w:r w:rsidR="00EA4369" w:rsidRPr="005E2BA4">
        <w:rPr>
          <w:rFonts w:ascii="Trebuchet MS" w:hAnsi="Trebuchet MS"/>
          <w:sz w:val="20"/>
          <w:szCs w:val="20"/>
        </w:rPr>
        <w:br/>
      </w:r>
      <w:r w:rsidRPr="005E2BA4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EA4369" w:rsidRDefault="00DB6DC5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Z</w:t>
      </w:r>
      <w:r w:rsidR="00904A59" w:rsidRPr="00EA4369">
        <w:rPr>
          <w:rFonts w:ascii="Trebuchet MS" w:hAnsi="Trebuchet MS"/>
          <w:sz w:val="20"/>
          <w:szCs w:val="20"/>
        </w:rPr>
        <w:t xml:space="preserve">godnie z art. 26 ust. 2f ustawy </w:t>
      </w:r>
      <w:proofErr w:type="spellStart"/>
      <w:r w:rsidR="00904A59" w:rsidRPr="00EA4369">
        <w:rPr>
          <w:rFonts w:ascii="Trebuchet MS" w:hAnsi="Trebuchet MS"/>
          <w:sz w:val="20"/>
          <w:szCs w:val="20"/>
        </w:rPr>
        <w:t>Pzp</w:t>
      </w:r>
      <w:proofErr w:type="spellEnd"/>
      <w:r w:rsidR="00904A59" w:rsidRPr="00EA4369">
        <w:rPr>
          <w:rFonts w:ascii="Trebuchet MS" w:hAnsi="Trebuchet MS"/>
          <w:sz w:val="20"/>
          <w:szCs w:val="20"/>
        </w:rPr>
        <w:t>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EA4369">
        <w:rPr>
          <w:rFonts w:ascii="Trebuchet MS" w:hAnsi="Trebuchet MS"/>
          <w:sz w:val="20"/>
          <w:szCs w:val="20"/>
        </w:rPr>
        <w:t xml:space="preserve">, </w:t>
      </w:r>
      <w:r w:rsidR="0011469B" w:rsidRPr="00EA4369">
        <w:rPr>
          <w:rFonts w:ascii="Trebuchet MS" w:hAnsi="Trebuchet MS"/>
          <w:sz w:val="20"/>
          <w:szCs w:val="20"/>
        </w:rPr>
        <w:t>a jeżeli zachodzą uzasadnione podstawy do uznania, że złożone uprzednio oświadczenia lub dokumenty nie są już aktualne, do złożenia aktualnych oświadczeń lub dokumentów.</w:t>
      </w:r>
    </w:p>
    <w:p w:rsidR="00EA4369" w:rsidRDefault="0011469B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Wykonawca nie jest zobowiązany do złożenia oświadczeń lub dokumentów potwierdzających okoliczności, o których mowa w art. 25 ust. 1 pkt 1 i 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. jeżeli Zamawiający posiada oświadczenia lub dokumenty dotyczące tego Wykonawcy lub może je uzyskać  za pomocą </w:t>
      </w:r>
      <w:r w:rsidR="00AD60B9" w:rsidRPr="00EA4369">
        <w:rPr>
          <w:rFonts w:ascii="Trebuchet MS" w:hAnsi="Trebuchet MS"/>
          <w:sz w:val="20"/>
          <w:szCs w:val="20"/>
        </w:rPr>
        <w:t xml:space="preserve">bezpłatnych i ogólnodostępnych </w:t>
      </w:r>
      <w:r w:rsidRPr="00EA4369">
        <w:rPr>
          <w:rFonts w:ascii="Trebuchet MS" w:hAnsi="Trebuchet MS"/>
          <w:sz w:val="20"/>
          <w:szCs w:val="20"/>
        </w:rPr>
        <w:t xml:space="preserve">baz danych, w szczególności rejestrów publicznych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rozumieniu ustawy z dnia 17 lutego 2005 r. o informatyzacji działalności podmiotów realizujących zadania publiczne.</w:t>
      </w:r>
      <w:r w:rsidR="00EA436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EA4369">
        <w:rPr>
          <w:rFonts w:ascii="Trebuchet MS" w:hAnsi="Trebuchet MS"/>
          <w:sz w:val="20"/>
          <w:szCs w:val="20"/>
        </w:rPr>
        <w:t xml:space="preserve">W przypadku wskazania przez Wykonawcę dostępności </w:t>
      </w:r>
      <w:r w:rsidRPr="00EA4369">
        <w:rPr>
          <w:rFonts w:ascii="Trebuchet MS" w:hAnsi="Trebuchet MS"/>
          <w:sz w:val="20"/>
          <w:szCs w:val="20"/>
        </w:rPr>
        <w:lastRenderedPageBreak/>
        <w:t xml:space="preserve">oświadczeń lub dokumentów w formie elektronicznej pod określonymi adresami internetowymi ogólnodostępnych i bezpłatnych </w:t>
      </w:r>
      <w:r w:rsidR="00E45CD3" w:rsidRPr="00EA4369">
        <w:rPr>
          <w:rFonts w:ascii="Trebuchet MS" w:hAnsi="Trebuchet MS"/>
          <w:sz w:val="20"/>
          <w:szCs w:val="20"/>
        </w:rPr>
        <w:t>baz danych, Zamawiający pobiera je samodzielnie.</w:t>
      </w:r>
    </w:p>
    <w:p w:rsidR="007D0667" w:rsidRPr="00EA4369" w:rsidRDefault="007D0667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mogą wspólnie ubiegać się o udzielenie zamówienia. W takim przypadku Wykonawcy ustanawiają pełnomocnika do reprezentowania ich w postępowaniu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udzielenie zamówienia albo reprezentowania w postępowaniu i zawarcia umowy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sprawie zamówienia publicznego.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Wykonawców wspólnie ubiegających się o udzielenie zamówienia, żaden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z nich nie może podlegać wykluczeniu na podstawie art.24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W przypadku wspólnego ubiegania się o zamówieni</w:t>
      </w:r>
      <w:r w:rsidR="00EA4369" w:rsidRPr="00EA4369">
        <w:rPr>
          <w:rFonts w:ascii="Trebuchet MS" w:hAnsi="Trebuchet MS"/>
          <w:sz w:val="20"/>
          <w:szCs w:val="20"/>
        </w:rPr>
        <w:t>e przez Wykonawców, oświadczenie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="00EA4369" w:rsidRPr="00EA4369">
        <w:rPr>
          <w:rFonts w:ascii="Trebuchet MS" w:hAnsi="Trebuchet MS"/>
          <w:sz w:val="20"/>
          <w:szCs w:val="20"/>
        </w:rPr>
        <w:t>o którym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A4369" w:rsidRPr="00EA4369">
        <w:rPr>
          <w:rFonts w:ascii="Trebuchet MS" w:hAnsi="Trebuchet MS"/>
          <w:sz w:val="20"/>
          <w:szCs w:val="20"/>
        </w:rPr>
        <w:t xml:space="preserve">mowa w Części VI pkt </w:t>
      </w:r>
      <w:r w:rsidR="00A75C24" w:rsidRPr="00EA4369">
        <w:rPr>
          <w:rFonts w:ascii="Trebuchet MS" w:hAnsi="Trebuchet MS"/>
          <w:sz w:val="20"/>
          <w:szCs w:val="20"/>
        </w:rPr>
        <w:t>1</w:t>
      </w:r>
      <w:r w:rsidRPr="00EA4369">
        <w:rPr>
          <w:rFonts w:ascii="Trebuchet MS" w:hAnsi="Trebuchet MS"/>
          <w:sz w:val="20"/>
          <w:szCs w:val="20"/>
        </w:rPr>
        <w:t xml:space="preserve"> składa każdy z Wykonawców wspólnie ubiegających się </w:t>
      </w:r>
      <w:r w:rsidR="00EA4369" w:rsidRPr="00EA4369">
        <w:rPr>
          <w:rFonts w:ascii="Trebuchet MS" w:hAnsi="Trebuchet MS"/>
          <w:sz w:val="20"/>
          <w:szCs w:val="20"/>
        </w:rPr>
        <w:br/>
        <w:t xml:space="preserve">o zamówienie. 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EA4369" w:rsidRPr="00EA4369">
        <w:rPr>
          <w:rFonts w:ascii="Trebuchet MS" w:hAnsi="Trebuchet MS"/>
          <w:sz w:val="20"/>
          <w:szCs w:val="20"/>
        </w:rPr>
        <w:t>pkt 3</w:t>
      </w:r>
      <w:r w:rsidR="000F3754" w:rsidRPr="00EA4369">
        <w:rPr>
          <w:rFonts w:ascii="Trebuchet MS" w:hAnsi="Trebuchet MS"/>
          <w:sz w:val="20"/>
          <w:szCs w:val="20"/>
        </w:rPr>
        <w:t xml:space="preserve"> składa każdy z Wykonawców.</w:t>
      </w:r>
    </w:p>
    <w:p w:rsidR="00EA4369" w:rsidRDefault="00EE5D6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z zobowiązania do zapłaty wynagrodzenia w stosunku do pozostałych Wykonawców.</w:t>
      </w:r>
    </w:p>
    <w:p w:rsidR="00EE5D6F" w:rsidRPr="00EA4369" w:rsidRDefault="00B92771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EE5D6F" w:rsidRPr="00FD6E76" w:rsidRDefault="00EE5D6F" w:rsidP="00FD6E76">
      <w:pPr>
        <w:pStyle w:val="Default"/>
        <w:spacing w:line="276" w:lineRule="auto"/>
        <w:ind w:left="717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892C00" w:rsidRDefault="00892C00" w:rsidP="00AA6DE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AA6DE6" w:rsidRDefault="00AA6DE6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Część VII </w:t>
      </w:r>
    </w:p>
    <w:p w:rsidR="00E027EA" w:rsidRDefault="00B92771" w:rsidP="00EA4369">
      <w:pPr>
        <w:pStyle w:val="Default"/>
        <w:spacing w:line="276" w:lineRule="auto"/>
        <w:ind w:left="426" w:hanging="426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Informacja o sposobie porozumiewania się Zamawiającego</w:t>
      </w:r>
      <w:r w:rsidR="00EA4369">
        <w:rPr>
          <w:rFonts w:ascii="Trebuchet MS" w:hAnsi="Trebuchet MS"/>
          <w:b/>
          <w:sz w:val="22"/>
          <w:szCs w:val="20"/>
        </w:rPr>
        <w:t xml:space="preserve"> </w:t>
      </w:r>
      <w:r w:rsidRPr="00E027EA">
        <w:rPr>
          <w:rFonts w:ascii="Trebuchet MS" w:hAnsi="Trebuchet MS"/>
          <w:b/>
          <w:sz w:val="22"/>
          <w:szCs w:val="20"/>
        </w:rPr>
        <w:t xml:space="preserve">z Wykonawcami </w:t>
      </w:r>
      <w:r w:rsidR="00EA4369">
        <w:rPr>
          <w:rFonts w:ascii="Trebuchet MS" w:hAnsi="Trebuchet MS"/>
          <w:b/>
          <w:sz w:val="22"/>
          <w:szCs w:val="20"/>
        </w:rPr>
        <w:br/>
      </w:r>
      <w:r w:rsidRPr="00E027EA">
        <w:rPr>
          <w:rFonts w:ascii="Trebuchet MS" w:hAnsi="Trebuchet MS"/>
          <w:b/>
          <w:sz w:val="22"/>
          <w:szCs w:val="20"/>
        </w:rPr>
        <w:t>oraz przeka</w:t>
      </w:r>
      <w:r w:rsidR="00EA4369">
        <w:rPr>
          <w:rFonts w:ascii="Trebuchet MS" w:hAnsi="Trebuchet MS"/>
          <w:b/>
          <w:sz w:val="22"/>
          <w:szCs w:val="20"/>
        </w:rPr>
        <w:t>zywania oświadczeń i dokumentów</w:t>
      </w:r>
    </w:p>
    <w:p w:rsidR="000F3754" w:rsidRPr="00E027EA" w:rsidRDefault="000A0058" w:rsidP="00EA4369">
      <w:pPr>
        <w:pStyle w:val="Default"/>
        <w:spacing w:line="276" w:lineRule="auto"/>
        <w:ind w:left="142" w:hanging="144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Osoby uprawnione do p</w:t>
      </w:r>
      <w:r w:rsidR="00EA4369">
        <w:rPr>
          <w:rFonts w:ascii="Trebuchet MS" w:hAnsi="Trebuchet MS"/>
          <w:b/>
          <w:sz w:val="22"/>
          <w:szCs w:val="20"/>
        </w:rPr>
        <w:t>orozumiewania się z Wykonawcami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>cy, będą przekazywać pisemnie przy użyciu środków komunikacji elektronicznej,</w:t>
      </w:r>
      <w:r w:rsidR="00AE2EBF">
        <w:rPr>
          <w:rFonts w:ascii="Trebuchet MS" w:hAnsi="Trebuchet MS"/>
          <w:sz w:val="20"/>
          <w:szCs w:val="20"/>
        </w:rPr>
        <w:t xml:space="preserve"> za wyjątkiem oferty,</w:t>
      </w:r>
      <w:r w:rsidRPr="00FD6E76">
        <w:rPr>
          <w:rFonts w:ascii="Trebuchet MS" w:hAnsi="Trebuchet MS"/>
          <w:sz w:val="20"/>
          <w:szCs w:val="20"/>
        </w:rPr>
        <w:t xml:space="preserve">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Oświadczenia lub dokumenty, potwierdzające br</w:t>
      </w:r>
      <w:r w:rsidR="006378B4">
        <w:rPr>
          <w:rFonts w:ascii="Trebuchet MS" w:hAnsi="Trebuchet MS"/>
          <w:sz w:val="20"/>
          <w:szCs w:val="20"/>
        </w:rPr>
        <w:t>ak podstaw do wykluczenia</w:t>
      </w:r>
      <w:r w:rsidRPr="00FD6E76">
        <w:rPr>
          <w:rFonts w:ascii="Trebuchet MS" w:hAnsi="Trebuchet MS"/>
          <w:sz w:val="20"/>
          <w:szCs w:val="20"/>
        </w:rPr>
        <w:t xml:space="preserve">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>w art. 26 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</w:t>
      </w:r>
      <w:proofErr w:type="spellStart"/>
      <w:r w:rsidR="00FA4D8E" w:rsidRPr="00FD6E76">
        <w:rPr>
          <w:rFonts w:ascii="Trebuchet MS" w:hAnsi="Trebuchet MS"/>
          <w:sz w:val="20"/>
          <w:szCs w:val="20"/>
        </w:rPr>
        <w:t>Pzp</w:t>
      </w:r>
      <w:proofErr w:type="spellEnd"/>
      <w:r w:rsidR="00FA4D8E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</w:t>
      </w:r>
      <w:r w:rsidRPr="00FD6E76">
        <w:rPr>
          <w:rFonts w:ascii="Trebuchet MS" w:hAnsi="Trebuchet MS"/>
          <w:sz w:val="20"/>
          <w:szCs w:val="20"/>
        </w:rPr>
        <w:lastRenderedPageBreak/>
        <w:t xml:space="preserve">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AE2EBF">
        <w:rPr>
          <w:rFonts w:ascii="Trebuchet MS" w:hAnsi="Trebuchet MS"/>
          <w:sz w:val="20"/>
          <w:szCs w:val="20"/>
        </w:rPr>
        <w:t xml:space="preserve"> </w:t>
      </w:r>
      <w:r w:rsidR="00791DCC">
        <w:rPr>
          <w:rFonts w:ascii="Trebuchet MS" w:hAnsi="Trebuchet MS"/>
          <w:sz w:val="20"/>
          <w:szCs w:val="20"/>
        </w:rPr>
        <w:t xml:space="preserve">Magdalena </w:t>
      </w:r>
      <w:proofErr w:type="spellStart"/>
      <w:r w:rsidR="00791DCC">
        <w:rPr>
          <w:rFonts w:ascii="Trebuchet MS" w:hAnsi="Trebuchet MS"/>
          <w:sz w:val="20"/>
          <w:szCs w:val="20"/>
        </w:rPr>
        <w:t>Berdys</w:t>
      </w:r>
      <w:proofErr w:type="spellEnd"/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5E658F">
        <w:rPr>
          <w:rFonts w:ascii="Trebuchet MS" w:hAnsi="Trebuchet MS"/>
          <w:sz w:val="20"/>
          <w:szCs w:val="20"/>
        </w:rPr>
        <w:t xml:space="preserve"> Magdalena </w:t>
      </w:r>
      <w:proofErr w:type="spellStart"/>
      <w:r w:rsidR="005E658F">
        <w:rPr>
          <w:rFonts w:ascii="Trebuchet MS" w:hAnsi="Trebuchet MS"/>
          <w:sz w:val="20"/>
          <w:szCs w:val="20"/>
        </w:rPr>
        <w:t>Berdys</w:t>
      </w:r>
      <w:proofErr w:type="spellEnd"/>
    </w:p>
    <w:p w:rsidR="001B7F64" w:rsidRDefault="001B7F64" w:rsidP="00733563">
      <w:pPr>
        <w:pStyle w:val="Default"/>
        <w:spacing w:line="276" w:lineRule="auto"/>
        <w:rPr>
          <w:rFonts w:ascii="Trebuchet MS" w:hAnsi="Trebuchet MS"/>
          <w:b/>
          <w:sz w:val="22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AE2EBF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AE2EBF">
        <w:rPr>
          <w:rFonts w:ascii="Trebuchet MS" w:hAnsi="Trebuchet MS"/>
          <w:b/>
          <w:sz w:val="22"/>
          <w:szCs w:val="20"/>
        </w:rPr>
        <w:t>VIII</w:t>
      </w:r>
    </w:p>
    <w:p w:rsidR="00870163" w:rsidRPr="00E027EA" w:rsidRDefault="00870163" w:rsidP="006378B4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Opis sposobu ud</w:t>
      </w:r>
      <w:r w:rsidR="00AE2EBF">
        <w:rPr>
          <w:rFonts w:ascii="Trebuchet MS" w:hAnsi="Trebuchet MS"/>
          <w:b/>
          <w:sz w:val="22"/>
          <w:szCs w:val="20"/>
        </w:rPr>
        <w:t xml:space="preserve">zielania wyjaśnień dotyczących </w:t>
      </w:r>
      <w:r w:rsidR="006378B4">
        <w:rPr>
          <w:rFonts w:ascii="Trebuchet MS" w:hAnsi="Trebuchet MS"/>
          <w:b/>
          <w:sz w:val="22"/>
          <w:szCs w:val="20"/>
        </w:rPr>
        <w:br/>
      </w:r>
      <w:r w:rsidR="00AE2EBF">
        <w:rPr>
          <w:rFonts w:ascii="Trebuchet MS" w:hAnsi="Trebuchet MS"/>
          <w:b/>
          <w:sz w:val="22"/>
          <w:szCs w:val="20"/>
        </w:rPr>
        <w:t>S</w:t>
      </w:r>
      <w:r w:rsidRPr="00E027EA">
        <w:rPr>
          <w:rFonts w:ascii="Trebuchet MS" w:hAnsi="Trebuchet MS"/>
          <w:b/>
          <w:sz w:val="22"/>
          <w:szCs w:val="20"/>
        </w:rPr>
        <w:t>pecyfikacji</w:t>
      </w:r>
      <w:r w:rsidR="006378B4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>Istotnych Warunków Z</w:t>
      </w:r>
      <w:r w:rsidRPr="00E027EA">
        <w:rPr>
          <w:rFonts w:ascii="Trebuchet MS" w:hAnsi="Trebuchet MS"/>
          <w:b/>
          <w:sz w:val="22"/>
          <w:szCs w:val="20"/>
        </w:rPr>
        <w:t>amówienia</w:t>
      </w: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A24473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IX</w:t>
      </w:r>
      <w:r w:rsidR="00AE2EBF">
        <w:rPr>
          <w:rFonts w:ascii="Trebuchet MS" w:hAnsi="Trebuchet MS"/>
          <w:b/>
          <w:sz w:val="22"/>
          <w:szCs w:val="20"/>
        </w:rPr>
        <w:t xml:space="preserve"> -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 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24473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X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="00240FE0" w:rsidRPr="00E027EA">
        <w:rPr>
          <w:rFonts w:ascii="Trebuchet MS" w:hAnsi="Trebuchet MS"/>
          <w:b/>
          <w:sz w:val="22"/>
          <w:szCs w:val="20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4964" w:rsidRPr="00A91165" w:rsidRDefault="00240FE0" w:rsidP="00A91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Termin związania ofertą wynosi 30 dni. Bieg terminu rozpoczyna się wraz z </w:t>
      </w:r>
      <w:r w:rsidR="00A91165">
        <w:rPr>
          <w:rFonts w:ascii="Trebuchet MS" w:hAnsi="Trebuchet MS"/>
          <w:sz w:val="20"/>
          <w:szCs w:val="20"/>
        </w:rPr>
        <w:t>upływem terminu składania ofert.</w:t>
      </w:r>
    </w:p>
    <w:p w:rsidR="00244964" w:rsidRPr="00CB7928" w:rsidRDefault="00244964" w:rsidP="00FD6E76">
      <w:pPr>
        <w:pStyle w:val="Default"/>
        <w:spacing w:line="276" w:lineRule="auto"/>
        <w:jc w:val="both"/>
        <w:rPr>
          <w:rFonts w:ascii="Trebuchet MS" w:hAnsi="Trebuchet MS"/>
          <w:sz w:val="12"/>
          <w:szCs w:val="20"/>
        </w:rPr>
      </w:pPr>
    </w:p>
    <w:p w:rsidR="00AA5125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E027EA" w:rsidRDefault="002449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X</w:t>
      </w:r>
      <w:r w:rsidR="00A24473" w:rsidRPr="00E027EA">
        <w:rPr>
          <w:rFonts w:ascii="Trebuchet MS" w:hAnsi="Trebuchet MS"/>
          <w:b/>
          <w:sz w:val="22"/>
          <w:szCs w:val="20"/>
        </w:rPr>
        <w:t>I</w:t>
      </w:r>
      <w:r w:rsidRPr="00E027EA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Pr="00E027EA">
        <w:rPr>
          <w:rFonts w:ascii="Trebuchet MS" w:hAnsi="Trebuchet MS"/>
          <w:b/>
          <w:sz w:val="22"/>
          <w:szCs w:val="20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</w:t>
      </w:r>
      <w:r w:rsidR="00F75127">
        <w:rPr>
          <w:rFonts w:ascii="Trebuchet MS" w:hAnsi="Trebuchet MS" w:cs="Lucida Sans Unicode"/>
          <w:sz w:val="20"/>
          <w:szCs w:val="20"/>
        </w:rPr>
        <w:t xml:space="preserve"> może złożyć tylko jedną ofertę</w:t>
      </w:r>
      <w:r w:rsidR="00A7212B">
        <w:rPr>
          <w:rFonts w:ascii="Trebuchet MS" w:hAnsi="Trebuchet MS" w:cs="Lucida Sans Unicode"/>
          <w:sz w:val="20"/>
          <w:szCs w:val="20"/>
        </w:rPr>
        <w:t xml:space="preserve"> </w:t>
      </w:r>
      <w:r w:rsidRPr="00FD6E76">
        <w:rPr>
          <w:rFonts w:ascii="Trebuchet MS" w:hAnsi="Trebuchet MS" w:cs="Lucida Sans Unicode"/>
          <w:sz w:val="20"/>
          <w:szCs w:val="20"/>
        </w:rPr>
        <w:t>pod rygorem wykluczenia z postępowania.</w:t>
      </w:r>
      <w:r w:rsidR="00E4137D">
        <w:rPr>
          <w:rFonts w:ascii="Trebuchet MS" w:hAnsi="Trebuchet MS" w:cs="Lucida Sans Unicode"/>
          <w:sz w:val="20"/>
          <w:szCs w:val="20"/>
        </w:rPr>
        <w:t xml:space="preserve">            </w:t>
      </w:r>
    </w:p>
    <w:p w:rsidR="00E4137D" w:rsidRDefault="00971425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Zamawiający </w:t>
      </w:r>
      <w:r w:rsidR="00F75127">
        <w:rPr>
          <w:rFonts w:ascii="Trebuchet MS" w:hAnsi="Trebuchet MS" w:cs="Lucida Sans Unicode"/>
          <w:sz w:val="20"/>
          <w:szCs w:val="20"/>
        </w:rPr>
        <w:t>nie</w:t>
      </w:r>
      <w:r w:rsidR="00E4137D">
        <w:rPr>
          <w:rFonts w:ascii="Trebuchet MS" w:hAnsi="Trebuchet MS" w:cs="Lucida Sans Unicode"/>
          <w:sz w:val="20"/>
          <w:szCs w:val="20"/>
        </w:rPr>
        <w:t xml:space="preserve"> dopusz</w:t>
      </w:r>
      <w:r>
        <w:rPr>
          <w:rFonts w:ascii="Trebuchet MS" w:hAnsi="Trebuchet MS" w:cs="Lucida Sans Unicode"/>
          <w:sz w:val="20"/>
          <w:szCs w:val="20"/>
        </w:rPr>
        <w:t>cza składanie</w:t>
      </w:r>
      <w:r w:rsidR="00FC4AA5">
        <w:rPr>
          <w:rFonts w:ascii="Trebuchet MS" w:hAnsi="Trebuchet MS" w:cs="Lucida Sans Unicode"/>
          <w:sz w:val="20"/>
          <w:szCs w:val="20"/>
        </w:rPr>
        <w:t xml:space="preserve"> o</w:t>
      </w:r>
      <w:r>
        <w:rPr>
          <w:rFonts w:ascii="Trebuchet MS" w:hAnsi="Trebuchet MS" w:cs="Lucida Sans Unicode"/>
          <w:sz w:val="20"/>
          <w:szCs w:val="20"/>
        </w:rPr>
        <w:t>fert częściowych.</w:t>
      </w:r>
    </w:p>
    <w:p w:rsidR="00971425" w:rsidRPr="00FD6E76" w:rsidRDefault="00971425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dopuszcza składania ofert wariantowych.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 xml:space="preserve">tekst jednolity Dz. U. z 2018 r. poz. 2188 z </w:t>
      </w:r>
      <w:proofErr w:type="spellStart"/>
      <w:r w:rsidRPr="00FD6E76">
        <w:rPr>
          <w:rFonts w:ascii="Trebuchet MS" w:hAnsi="Trebuchet MS" w:cs="Arial"/>
          <w:sz w:val="20"/>
          <w:szCs w:val="20"/>
        </w:rPr>
        <w:t>późn</w:t>
      </w:r>
      <w:proofErr w:type="spellEnd"/>
      <w:r w:rsidRPr="00FD6E76">
        <w:rPr>
          <w:rFonts w:ascii="Trebuchet MS" w:hAnsi="Trebuchet MS" w:cs="Arial"/>
          <w:sz w:val="20"/>
          <w:szCs w:val="20"/>
        </w:rPr>
        <w:t>. zm.)</w:t>
      </w:r>
      <w:r w:rsidRPr="00FD6E76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E2EBF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</w:t>
      </w:r>
      <w:r w:rsidR="00A7212B">
        <w:rPr>
          <w:rFonts w:ascii="Trebuchet MS" w:hAnsi="Trebuchet MS" w:cs="Lucida Sans Unicode"/>
          <w:sz w:val="20"/>
          <w:szCs w:val="20"/>
        </w:rPr>
        <w:t>SIWZ oraz załącznik nr 2 do SIWZ.</w:t>
      </w:r>
      <w:bookmarkStart w:id="0" w:name="_GoBack"/>
      <w:bookmarkEnd w:id="0"/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Oferta wraz ze wszystkimi załącznikami (oświadczeniami, dokumentami) stanowi jedną całość.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 składane są w oryginale.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AE2EBF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FD6E76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FD6E76">
        <w:rPr>
          <w:rFonts w:ascii="Trebuchet MS" w:hAnsi="Trebuchet MS" w:cs="Lucida Sans Unicode"/>
          <w:sz w:val="20"/>
          <w:szCs w:val="20"/>
        </w:rPr>
        <w:t>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854DC8">
        <w:rPr>
          <w:rFonts w:ascii="Trebuchet MS" w:hAnsi="Trebuchet MS" w:cs="Lucida Sans Unicode"/>
          <w:sz w:val="20"/>
          <w:szCs w:val="20"/>
        </w:rPr>
        <w:t>a ofertowego – Załącznik nr 1</w:t>
      </w:r>
      <w:r w:rsidR="00014ADA">
        <w:rPr>
          <w:rFonts w:ascii="Trebuchet MS" w:hAnsi="Trebuchet MS" w:cs="Lucida Sans Unicode"/>
          <w:sz w:val="20"/>
          <w:szCs w:val="20"/>
        </w:rPr>
        <w:t>,</w:t>
      </w:r>
    </w:p>
    <w:p w:rsidR="00CE7CE1" w:rsidRPr="00FD6E76" w:rsidRDefault="00CE7CE1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cennika, wy</w:t>
      </w:r>
      <w:r w:rsidR="00014ADA">
        <w:rPr>
          <w:rFonts w:ascii="Trebuchet MS" w:hAnsi="Trebuchet MS" w:cs="Lucida Sans Unicode"/>
          <w:sz w:val="20"/>
          <w:szCs w:val="20"/>
        </w:rPr>
        <w:t xml:space="preserve">kazu </w:t>
      </w:r>
      <w:r w:rsidR="00F75127">
        <w:rPr>
          <w:rFonts w:ascii="Trebuchet MS" w:hAnsi="Trebuchet MS" w:cs="Lucida Sans Unicode"/>
          <w:sz w:val="20"/>
          <w:szCs w:val="20"/>
        </w:rPr>
        <w:t>asortymentowego- Załącznik nr 2</w:t>
      </w:r>
      <w:r w:rsidR="00157C02">
        <w:rPr>
          <w:rFonts w:ascii="Trebuchet MS" w:hAnsi="Trebuchet MS" w:cs="Lucida Sans Unicode"/>
          <w:sz w:val="20"/>
          <w:szCs w:val="20"/>
        </w:rPr>
        <w:t>,</w:t>
      </w:r>
    </w:p>
    <w:p w:rsidR="000B2E0F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CE7CE1">
        <w:rPr>
          <w:rFonts w:ascii="Trebuchet MS" w:hAnsi="Trebuchet MS" w:cs="Lucida Sans Unicode"/>
          <w:sz w:val="20"/>
          <w:szCs w:val="20"/>
        </w:rPr>
        <w:t xml:space="preserve"> – Załącznik nr 5,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</w:p>
    <w:p w:rsidR="00A24473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  <w:r w:rsidR="00DA444C">
        <w:rPr>
          <w:rFonts w:ascii="Trebuchet MS" w:hAnsi="Trebuchet MS" w:cs="Lucida Sans Unicode"/>
          <w:sz w:val="20"/>
          <w:szCs w:val="20"/>
        </w:rPr>
        <w:t xml:space="preserve"> </w:t>
      </w:r>
    </w:p>
    <w:p w:rsidR="00DA444C" w:rsidRDefault="00DA444C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Opakowanie musi zostać opatrzone pieczęcią firmową Wykonawcy oraz następującym opisem:</w:t>
      </w:r>
    </w:p>
    <w:p w:rsidR="00A24473" w:rsidRPr="004B5072" w:rsidRDefault="00DA444C" w:rsidP="004B5072">
      <w:pPr>
        <w:tabs>
          <w:tab w:val="left" w:pos="0"/>
        </w:tabs>
        <w:spacing w:after="0" w:line="276" w:lineRule="auto"/>
        <w:ind w:left="36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,,</w:t>
      </w:r>
      <w:r>
        <w:rPr>
          <w:rFonts w:ascii="Trebuchet MS" w:hAnsi="Trebuchet MS" w:cs="Lucida Sans Unicode"/>
          <w:b/>
          <w:sz w:val="20"/>
          <w:szCs w:val="20"/>
        </w:rPr>
        <w:t xml:space="preserve">Oferta na zakup i dostawę środków ochrony osobistej dla Miejskiego Ośrodka Pomocy </w:t>
      </w:r>
      <w:r w:rsidR="00FE37B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>Społecznej w Bielsku- Białej”.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wprowadzić zmiany, poprawki, modyfikacje i uzupełnienia do złożonej oferty pod warunkiem, że Zamawiający otrzyma pisemne zawiadomienie o wprowadzeniu zmian przed upływem terminu składania ofert. Zawiadomienie o wprowadzeniu zmian musi być złożone według takich samych zasad jak składana oferta tj. w kopercie odpowiednio oznakowanej napisem „ZMIANA”. Koperta oznakowana wyrazem „ZMIANA” zostanie otwarta przy otwieraniu oferty Wykonawcy, który </w:t>
      </w:r>
      <w:r w:rsidRPr="00FD6E76">
        <w:rPr>
          <w:rFonts w:ascii="Trebuchet MS" w:hAnsi="Trebuchet MS" w:cs="Lucida Sans Unicode"/>
          <w:sz w:val="20"/>
          <w:szCs w:val="20"/>
        </w:rPr>
        <w:lastRenderedPageBreak/>
        <w:t xml:space="preserve">wprowadził zmiany i po stwierdzeniu poprawności procedury dokonania zmian, zostanie dołączona do oferty, której dotyczy zmiana. </w:t>
      </w:r>
    </w:p>
    <w:p w:rsidR="00A24473" w:rsidRPr="00FD6E76" w:rsidRDefault="00FD6E76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Default="007E6E34" w:rsidP="00DB069D">
      <w:pPr>
        <w:pStyle w:val="Default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DB069D" w:rsidRPr="00FD6E76" w:rsidRDefault="00DB069D" w:rsidP="00DB069D">
      <w:pPr>
        <w:pStyle w:val="Default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1F6213" w:rsidRPr="00EC548C" w:rsidRDefault="007E6E34" w:rsidP="00AE2EBF">
      <w:pPr>
        <w:jc w:val="center"/>
        <w:rPr>
          <w:rFonts w:ascii="Trebuchet MS" w:hAnsi="Trebuchet MS"/>
          <w:b/>
        </w:rPr>
      </w:pPr>
      <w:r w:rsidRPr="00EC548C">
        <w:rPr>
          <w:rFonts w:ascii="Trebuchet MS" w:hAnsi="Trebuchet MS"/>
          <w:b/>
          <w:szCs w:val="20"/>
        </w:rPr>
        <w:t xml:space="preserve">Część XII – </w:t>
      </w:r>
      <w:r w:rsidR="001F6213" w:rsidRPr="00EC548C">
        <w:rPr>
          <w:rFonts w:ascii="Trebuchet MS" w:hAnsi="Trebuchet MS"/>
          <w:b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 ul. Karola</w:t>
      </w:r>
      <w:r w:rsidRPr="008F00FC">
        <w:rPr>
          <w:rFonts w:ascii="Trebuchet MS" w:hAnsi="Trebuchet MS"/>
          <w:sz w:val="20"/>
          <w:szCs w:val="20"/>
        </w:rPr>
        <w:t xml:space="preserve"> Miarki 11 (</w:t>
      </w:r>
      <w:r w:rsidR="00340860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III pięt</w:t>
      </w:r>
      <w:r>
        <w:rPr>
          <w:rFonts w:ascii="Trebuchet MS" w:hAnsi="Trebuchet MS"/>
          <w:sz w:val="20"/>
          <w:szCs w:val="20"/>
        </w:rPr>
        <w:t>ro, pok</w:t>
      </w:r>
      <w:r w:rsidR="00CB7928">
        <w:rPr>
          <w:rFonts w:ascii="Trebuchet MS" w:hAnsi="Trebuchet MS"/>
          <w:sz w:val="20"/>
          <w:szCs w:val="20"/>
        </w:rPr>
        <w:t xml:space="preserve">ój nr 307) w </w:t>
      </w:r>
      <w:r w:rsidR="00340860">
        <w:rPr>
          <w:rFonts w:ascii="Trebuchet MS" w:hAnsi="Trebuchet MS"/>
          <w:sz w:val="20"/>
          <w:szCs w:val="20"/>
        </w:rPr>
        <w:t xml:space="preserve"> </w:t>
      </w:r>
      <w:r w:rsidR="00CB7928">
        <w:rPr>
          <w:rFonts w:ascii="Trebuchet MS" w:hAnsi="Trebuchet MS"/>
          <w:sz w:val="20"/>
          <w:szCs w:val="20"/>
        </w:rPr>
        <w:t>terminie</w:t>
      </w:r>
      <w:r w:rsidR="00340860">
        <w:rPr>
          <w:rFonts w:ascii="Trebuchet MS" w:hAnsi="Trebuchet MS"/>
          <w:sz w:val="20"/>
          <w:szCs w:val="20"/>
        </w:rPr>
        <w:t xml:space="preserve"> </w:t>
      </w:r>
      <w:r w:rsidR="00CB7928">
        <w:rPr>
          <w:rFonts w:ascii="Trebuchet MS" w:hAnsi="Trebuchet MS"/>
          <w:sz w:val="20"/>
          <w:szCs w:val="20"/>
        </w:rPr>
        <w:t xml:space="preserve"> do </w:t>
      </w:r>
      <w:r w:rsidR="00703CC2">
        <w:rPr>
          <w:rFonts w:ascii="Trebuchet MS" w:hAnsi="Trebuchet MS"/>
          <w:b/>
          <w:sz w:val="20"/>
          <w:szCs w:val="20"/>
        </w:rPr>
        <w:t>15</w:t>
      </w:r>
      <w:r w:rsidR="00FD03C4">
        <w:rPr>
          <w:rFonts w:ascii="Trebuchet MS" w:hAnsi="Trebuchet MS"/>
          <w:b/>
          <w:sz w:val="20"/>
          <w:szCs w:val="20"/>
        </w:rPr>
        <w:t xml:space="preserve"> października</w:t>
      </w:r>
      <w:r w:rsidR="00A732C8">
        <w:rPr>
          <w:rFonts w:ascii="Trebuchet MS" w:hAnsi="Trebuchet MS"/>
          <w:b/>
          <w:sz w:val="20"/>
          <w:szCs w:val="20"/>
        </w:rPr>
        <w:t xml:space="preserve"> </w:t>
      </w:r>
      <w:r w:rsidR="004B5072">
        <w:rPr>
          <w:rFonts w:ascii="Trebuchet MS" w:hAnsi="Trebuchet MS"/>
          <w:b/>
          <w:sz w:val="20"/>
          <w:szCs w:val="20"/>
        </w:rPr>
        <w:t xml:space="preserve"> 2020</w:t>
      </w:r>
      <w:r w:rsidR="00F261B5">
        <w:rPr>
          <w:rFonts w:ascii="Trebuchet MS" w:hAnsi="Trebuchet MS"/>
          <w:b/>
          <w:sz w:val="20"/>
          <w:szCs w:val="20"/>
        </w:rPr>
        <w:t xml:space="preserve"> roku </w:t>
      </w:r>
      <w:r w:rsidR="00340860">
        <w:rPr>
          <w:rFonts w:ascii="Trebuchet MS" w:hAnsi="Trebuchet MS"/>
          <w:b/>
          <w:sz w:val="20"/>
          <w:szCs w:val="20"/>
        </w:rPr>
        <w:t xml:space="preserve"> </w:t>
      </w:r>
      <w:r w:rsidR="00F261B5">
        <w:rPr>
          <w:rFonts w:ascii="Trebuchet MS" w:hAnsi="Trebuchet MS"/>
          <w:b/>
          <w:sz w:val="20"/>
          <w:szCs w:val="20"/>
        </w:rPr>
        <w:t xml:space="preserve">do </w:t>
      </w:r>
      <w:r w:rsidR="00340860">
        <w:rPr>
          <w:rFonts w:ascii="Trebuchet MS" w:hAnsi="Trebuchet MS"/>
          <w:b/>
          <w:sz w:val="20"/>
          <w:szCs w:val="20"/>
        </w:rPr>
        <w:t xml:space="preserve"> </w:t>
      </w:r>
      <w:r w:rsidR="00F261B5">
        <w:rPr>
          <w:rFonts w:ascii="Trebuchet MS" w:hAnsi="Trebuchet MS"/>
          <w:b/>
          <w:sz w:val="20"/>
          <w:szCs w:val="20"/>
        </w:rPr>
        <w:t>godziny 10.30</w:t>
      </w: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</w:t>
      </w:r>
      <w:r w:rsidR="00D575C4">
        <w:rPr>
          <w:rFonts w:ascii="Trebuchet MS" w:hAnsi="Trebuchet MS"/>
          <w:sz w:val="20"/>
          <w:szCs w:val="20"/>
        </w:rPr>
        <w:t xml:space="preserve"> złożonych ofert nastąpi w dniu </w:t>
      </w:r>
      <w:r w:rsidR="00703CC2">
        <w:rPr>
          <w:rFonts w:ascii="Trebuchet MS" w:hAnsi="Trebuchet MS"/>
          <w:b/>
          <w:sz w:val="20"/>
          <w:szCs w:val="20"/>
        </w:rPr>
        <w:t>15</w:t>
      </w:r>
      <w:r w:rsidR="00FD03C4">
        <w:rPr>
          <w:rFonts w:ascii="Trebuchet MS" w:hAnsi="Trebuchet MS"/>
          <w:b/>
          <w:sz w:val="20"/>
          <w:szCs w:val="20"/>
        </w:rPr>
        <w:t xml:space="preserve"> października</w:t>
      </w:r>
      <w:r w:rsidR="00D575C4">
        <w:rPr>
          <w:rFonts w:ascii="Trebuchet MS" w:hAnsi="Trebuchet MS"/>
          <w:b/>
          <w:sz w:val="20"/>
          <w:szCs w:val="20"/>
        </w:rPr>
        <w:t xml:space="preserve"> 2020 roku o godzinie 11.00 </w:t>
      </w:r>
      <w:r w:rsidR="00D575C4">
        <w:rPr>
          <w:rFonts w:ascii="Trebuchet MS" w:hAnsi="Trebuchet MS"/>
          <w:sz w:val="20"/>
          <w:szCs w:val="20"/>
        </w:rPr>
        <w:t>w siedzi</w:t>
      </w:r>
      <w:r w:rsidR="00FD03C4">
        <w:rPr>
          <w:rFonts w:ascii="Trebuchet MS" w:hAnsi="Trebuchet MS"/>
          <w:sz w:val="20"/>
          <w:szCs w:val="20"/>
        </w:rPr>
        <w:t>bie Zamawiającego( III piętro, pokój 307)</w:t>
      </w:r>
      <w:r w:rsidR="0022354A">
        <w:rPr>
          <w:rFonts w:ascii="Trebuchet MS" w:hAnsi="Trebuchet MS"/>
          <w:sz w:val="20"/>
          <w:szCs w:val="20"/>
        </w:rPr>
        <w:t>.</w:t>
      </w:r>
    </w:p>
    <w:p w:rsidR="001F6213" w:rsidRDefault="00DB069D" w:rsidP="00DB069D">
      <w:pPr>
        <w:pStyle w:val="Default"/>
        <w:tabs>
          <w:tab w:val="left" w:pos="3882"/>
        </w:tabs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ab/>
      </w:r>
    </w:p>
    <w:p w:rsidR="00DB069D" w:rsidRDefault="00DB069D" w:rsidP="00DB069D">
      <w:pPr>
        <w:pStyle w:val="Default"/>
        <w:tabs>
          <w:tab w:val="left" w:pos="3882"/>
        </w:tabs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</w:p>
    <w:p w:rsidR="007E6E34" w:rsidRPr="003F555B" w:rsidRDefault="001F6213" w:rsidP="00AE2EBF">
      <w:pPr>
        <w:pStyle w:val="Default"/>
        <w:spacing w:line="276" w:lineRule="auto"/>
        <w:jc w:val="center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 xml:space="preserve">Część XIII - </w:t>
      </w:r>
      <w:r w:rsidR="007E6E34" w:rsidRPr="003F555B">
        <w:rPr>
          <w:rFonts w:ascii="Trebuchet MS" w:hAnsi="Trebuchet MS"/>
          <w:b/>
          <w:color w:val="auto"/>
          <w:sz w:val="22"/>
          <w:szCs w:val="20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7E6E34" w:rsidRPr="00FD6E76" w:rsidRDefault="007E6E34" w:rsidP="00AD0B7E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Cena oferty </w:t>
      </w:r>
      <w:r w:rsidR="00E4137D">
        <w:rPr>
          <w:rFonts w:ascii="Trebuchet MS" w:hAnsi="Trebuchet MS"/>
          <w:sz w:val="20"/>
          <w:szCs w:val="20"/>
        </w:rPr>
        <w:t xml:space="preserve">powinna uwzględniać wszystkie koszty Wykonawcy, w tym dostawę przedmiotu zamówienia i jego rozładunek w siedzibie </w:t>
      </w:r>
      <w:r w:rsidR="00DD2BDD">
        <w:rPr>
          <w:rFonts w:ascii="Trebuchet MS" w:hAnsi="Trebuchet MS"/>
          <w:sz w:val="20"/>
          <w:szCs w:val="20"/>
        </w:rPr>
        <w:t>Zamawiającego</w:t>
      </w:r>
      <w:r w:rsidR="00E4137D">
        <w:rPr>
          <w:rFonts w:ascii="Trebuchet MS" w:hAnsi="Trebuchet MS"/>
          <w:sz w:val="20"/>
          <w:szCs w:val="20"/>
        </w:rPr>
        <w:t>.</w:t>
      </w:r>
    </w:p>
    <w:p w:rsidR="00696E12" w:rsidRPr="00126531" w:rsidRDefault="007E6E34" w:rsidP="00126531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7129DB">
        <w:rPr>
          <w:rFonts w:ascii="Trebuchet MS" w:hAnsi="Trebuchet MS"/>
          <w:sz w:val="20"/>
          <w:szCs w:val="20"/>
        </w:rPr>
        <w:t>ena oferty ma obejmować całkowity koszt wykonania przedmiotu zamówienia oraz wszelkie koszty towarzyszące, konieczne do poniesienia przez Wykonawcę z tytułu wykonania przedmiotu zamówienia oraz uwzględniać wszystkie elementy związane z prawidłową, terminową realizacją przed</w:t>
      </w:r>
      <w:r w:rsidR="00126531">
        <w:rPr>
          <w:rFonts w:ascii="Trebuchet MS" w:hAnsi="Trebuchet MS"/>
          <w:sz w:val="20"/>
          <w:szCs w:val="20"/>
        </w:rPr>
        <w:t>miotu zamówienia.</w:t>
      </w:r>
    </w:p>
    <w:p w:rsidR="00BF7315" w:rsidRPr="00696E12" w:rsidRDefault="00BF731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696E12">
        <w:rPr>
          <w:rFonts w:ascii="Trebuchet MS" w:hAnsi="Trebuchet MS"/>
          <w:sz w:val="20"/>
          <w:szCs w:val="20"/>
        </w:rPr>
        <w:br/>
      </w:r>
      <w:r w:rsidRPr="00696E1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 w:rsidR="0073356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F92925" w:rsidRPr="00AA5125" w:rsidRDefault="00E25255" w:rsidP="00AA51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DE7FD0" w:rsidRPr="00FD6E76" w:rsidRDefault="00DE7FD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DB069D">
      <w:pPr>
        <w:spacing w:after="0"/>
        <w:jc w:val="center"/>
        <w:rPr>
          <w:rFonts w:ascii="Trebuchet MS" w:hAnsi="Trebuchet MS"/>
          <w:b/>
        </w:rPr>
      </w:pPr>
    </w:p>
    <w:p w:rsidR="00DB069D" w:rsidRDefault="00DB069D" w:rsidP="00DB069D">
      <w:pPr>
        <w:spacing w:after="0"/>
        <w:jc w:val="center"/>
        <w:rPr>
          <w:rFonts w:ascii="Trebuchet MS" w:hAnsi="Trebuchet MS"/>
          <w:b/>
        </w:rPr>
      </w:pPr>
    </w:p>
    <w:p w:rsidR="00DB069D" w:rsidRDefault="00DB069D" w:rsidP="00DB069D">
      <w:pPr>
        <w:spacing w:after="0"/>
        <w:jc w:val="center"/>
        <w:rPr>
          <w:rFonts w:ascii="Trebuchet MS" w:hAnsi="Trebuchet MS"/>
          <w:b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XIV</w:t>
      </w:r>
    </w:p>
    <w:p w:rsidR="001F6213" w:rsidRPr="001F6213" w:rsidRDefault="001F6213" w:rsidP="002B359B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Opis kryteriów, którymi Zamawiający będzie się kierował przy wyborze</w:t>
      </w:r>
      <w:r w:rsidR="00157C02">
        <w:rPr>
          <w:rFonts w:ascii="Trebuchet MS" w:hAnsi="Trebuchet MS"/>
          <w:b/>
        </w:rPr>
        <w:t xml:space="preserve"> </w:t>
      </w:r>
      <w:r w:rsidR="002B359B">
        <w:rPr>
          <w:rFonts w:ascii="Trebuchet MS" w:hAnsi="Trebuchet MS"/>
          <w:b/>
        </w:rPr>
        <w:t xml:space="preserve"> oferty wraz</w:t>
      </w:r>
      <w:r w:rsidR="00157C02">
        <w:rPr>
          <w:rFonts w:ascii="Trebuchet MS" w:hAnsi="Trebuchet MS"/>
          <w:b/>
        </w:rPr>
        <w:br/>
      </w:r>
      <w:r w:rsidR="002B359B">
        <w:rPr>
          <w:rFonts w:ascii="Trebuchet MS" w:hAnsi="Trebuchet MS"/>
          <w:b/>
        </w:rPr>
        <w:t xml:space="preserve"> z podaniem wag tych kryteriów i sposobu oceny ofert.</w:t>
      </w:r>
    </w:p>
    <w:p w:rsidR="007E6E34" w:rsidRPr="00FD6E76" w:rsidRDefault="007E6E3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9C59BE" w:rsidRPr="008F00FC" w:rsidRDefault="009C59B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F261B5">
        <w:rPr>
          <w:rFonts w:ascii="Trebuchet MS" w:hAnsi="Trebuchet MS"/>
          <w:b/>
          <w:sz w:val="20"/>
          <w:szCs w:val="20"/>
        </w:rPr>
        <w:t xml:space="preserve"> Cena       </w:t>
      </w:r>
      <w:r w:rsidR="00F261B5">
        <w:rPr>
          <w:rFonts w:ascii="Trebuchet MS" w:hAnsi="Trebuchet MS"/>
          <w:b/>
          <w:sz w:val="20"/>
          <w:szCs w:val="20"/>
        </w:rPr>
        <w:tab/>
      </w:r>
      <w:r w:rsidR="00F261B5">
        <w:rPr>
          <w:rFonts w:ascii="Trebuchet MS" w:hAnsi="Trebuchet MS"/>
          <w:b/>
          <w:sz w:val="20"/>
          <w:szCs w:val="20"/>
        </w:rPr>
        <w:tab/>
      </w:r>
      <w:r w:rsidR="00F261B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  <w:t>-</w:t>
      </w:r>
      <w:r w:rsidR="00AA5125">
        <w:rPr>
          <w:rFonts w:ascii="Trebuchet MS" w:hAnsi="Trebuchet MS"/>
          <w:b/>
          <w:sz w:val="20"/>
          <w:szCs w:val="20"/>
        </w:rPr>
        <w:tab/>
        <w:t>6</w:t>
      </w:r>
      <w:r>
        <w:rPr>
          <w:rFonts w:ascii="Trebuchet MS" w:hAnsi="Trebuchet MS"/>
          <w:b/>
          <w:sz w:val="20"/>
          <w:szCs w:val="20"/>
        </w:rPr>
        <w:t>0 %</w:t>
      </w:r>
    </w:p>
    <w:p w:rsidR="009C59BE" w:rsidRDefault="009C59BE" w:rsidP="009C59BE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101887">
        <w:rPr>
          <w:rFonts w:ascii="Trebuchet MS" w:hAnsi="Trebuchet MS"/>
          <w:b/>
          <w:sz w:val="20"/>
          <w:szCs w:val="20"/>
        </w:rPr>
        <w:t xml:space="preserve"> Termin dostawy</w:t>
      </w:r>
      <w:r w:rsidR="00AA512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  <w:t>-</w:t>
      </w:r>
      <w:r w:rsidR="00AA5125">
        <w:rPr>
          <w:rFonts w:ascii="Trebuchet MS" w:hAnsi="Trebuchet MS"/>
          <w:b/>
          <w:sz w:val="20"/>
          <w:szCs w:val="20"/>
        </w:rPr>
        <w:tab/>
        <w:t>4</w:t>
      </w:r>
      <w:r>
        <w:rPr>
          <w:rFonts w:ascii="Trebuchet MS" w:hAnsi="Trebuchet MS"/>
          <w:b/>
          <w:sz w:val="20"/>
          <w:szCs w:val="20"/>
        </w:rPr>
        <w:t>0 %</w:t>
      </w:r>
    </w:p>
    <w:p w:rsidR="00244964" w:rsidRPr="00FD6E76" w:rsidRDefault="0024496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5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733563" w:rsidRPr="007E14DB" w:rsidRDefault="00AA5125" w:rsidP="007E14DB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1  -  Cena – 6</w:t>
      </w:r>
      <w:r w:rsidR="009C59BE">
        <w:rPr>
          <w:rFonts w:ascii="Trebuchet MS" w:hAnsi="Trebuchet MS"/>
          <w:b/>
          <w:sz w:val="20"/>
          <w:szCs w:val="20"/>
        </w:rPr>
        <w:t xml:space="preserve">0% </w:t>
      </w:r>
      <w:r w:rsidR="009C59BE" w:rsidRPr="008F00FC">
        <w:rPr>
          <w:rFonts w:ascii="Trebuchet MS" w:hAnsi="Trebuchet MS"/>
          <w:b/>
          <w:sz w:val="20"/>
          <w:szCs w:val="20"/>
        </w:rPr>
        <w:t xml:space="preserve"> </w:t>
      </w:r>
      <w:r w:rsidR="009C59BE" w:rsidRPr="008F00FC">
        <w:rPr>
          <w:rFonts w:ascii="Trebuchet MS" w:hAnsi="Trebuchet MS"/>
          <w:sz w:val="20"/>
          <w:szCs w:val="20"/>
        </w:rPr>
        <w:t xml:space="preserve">– </w:t>
      </w:r>
      <w:r w:rsidR="009C59BE">
        <w:rPr>
          <w:rFonts w:ascii="Trebuchet MS" w:hAnsi="Trebuchet MS"/>
          <w:sz w:val="20"/>
          <w:szCs w:val="20"/>
        </w:rPr>
        <w:t xml:space="preserve">wyliczona </w:t>
      </w:r>
      <w:r w:rsidR="009C59BE" w:rsidRPr="008F00FC">
        <w:rPr>
          <w:rFonts w:ascii="Trebuchet MS" w:hAnsi="Trebuchet MS"/>
          <w:sz w:val="20"/>
          <w:szCs w:val="20"/>
        </w:rPr>
        <w:t>wg następującego wzoru: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waga danego kr</w:t>
      </w:r>
      <w:r>
        <w:rPr>
          <w:rFonts w:ascii="Trebuchet MS" w:hAnsi="Trebuchet MS"/>
          <w:sz w:val="20"/>
          <w:szCs w:val="20"/>
        </w:rPr>
        <w:t xml:space="preserve">yterium wyrażona w </w:t>
      </w:r>
      <w:r w:rsidR="00AA5125">
        <w:rPr>
          <w:rFonts w:ascii="Trebuchet MS" w:hAnsi="Trebuchet MS"/>
          <w:sz w:val="20"/>
          <w:szCs w:val="20"/>
        </w:rPr>
        <w:t>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9C59BE" w:rsidRDefault="009C59BE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854DC8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– Termin dostawy </w:t>
      </w:r>
      <w:r w:rsidR="00AA5125">
        <w:rPr>
          <w:rFonts w:ascii="Trebuchet MS" w:hAnsi="Trebuchet MS"/>
          <w:b/>
          <w:sz w:val="20"/>
          <w:szCs w:val="20"/>
        </w:rPr>
        <w:t>– 4</w:t>
      </w:r>
      <w:r w:rsidR="00DD355D" w:rsidRPr="00DD355D">
        <w:rPr>
          <w:rFonts w:ascii="Trebuchet MS" w:hAnsi="Trebuchet MS"/>
          <w:b/>
          <w:sz w:val="20"/>
          <w:szCs w:val="20"/>
        </w:rPr>
        <w:t>0%</w:t>
      </w:r>
    </w:p>
    <w:p w:rsidR="00601A9E" w:rsidRDefault="00601A9E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4B5072" w:rsidRDefault="000A7C66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Maksymalny termin na dostawę środków ochrony osobistej wynosi sześć dni. Oferty z terminem dłuższym niż wyznaczony przez Zamawiającego będą podlegały odrzuceniu z postępowania</w:t>
      </w:r>
      <w:r w:rsidR="00703CC2">
        <w:rPr>
          <w:rFonts w:ascii="Trebuchet MS" w:hAnsi="Trebuchet MS" w:cs="Arial"/>
          <w:sz w:val="20"/>
        </w:rPr>
        <w:t>, jako niezgodne z SIWZ.</w:t>
      </w:r>
      <w:r w:rsidR="004B5072">
        <w:rPr>
          <w:rFonts w:ascii="Trebuchet MS" w:hAnsi="Trebuchet MS" w:cs="Arial"/>
          <w:sz w:val="20"/>
        </w:rPr>
        <w:t xml:space="preserve"> Jeżeli Wykonawca zadeklaruje dostawę w krótszym terminie, będzie ona punktowana w następujący sposób:</w:t>
      </w:r>
    </w:p>
    <w:p w:rsidR="00601A9E" w:rsidRDefault="004B5072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1B34B7">
        <w:rPr>
          <w:rFonts w:ascii="Trebuchet MS" w:hAnsi="Trebuchet MS" w:cs="Arial"/>
          <w:sz w:val="20"/>
        </w:rPr>
        <w:t xml:space="preserve"> </w:t>
      </w:r>
    </w:p>
    <w:p w:rsidR="00616DBE" w:rsidRPr="00616DBE" w:rsidRDefault="00616DBE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                                              </w:t>
      </w:r>
      <w:r w:rsidR="001B34B7">
        <w:rPr>
          <w:rFonts w:ascii="Trebuchet MS" w:hAnsi="Trebuchet MS" w:cs="Arial"/>
          <w:sz w:val="20"/>
        </w:rPr>
        <w:t xml:space="preserve">                    </w:t>
      </w:r>
      <w:r>
        <w:rPr>
          <w:rFonts w:ascii="Trebuchet MS" w:hAnsi="Trebuchet MS" w:cs="Arial"/>
          <w:sz w:val="20"/>
        </w:rPr>
        <w:t xml:space="preserve">   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B936EE">
        <w:rPr>
          <w:rFonts w:ascii="Trebuchet MS" w:hAnsi="Trebuchet MS"/>
          <w:sz w:val="20"/>
          <w:szCs w:val="20"/>
        </w:rPr>
        <w:t>sześć dni          -</w:t>
      </w:r>
      <w:r>
        <w:rPr>
          <w:rFonts w:ascii="Trebuchet MS" w:hAnsi="Trebuchet MS"/>
          <w:sz w:val="20"/>
          <w:szCs w:val="20"/>
        </w:rPr>
        <w:t xml:space="preserve">     </w:t>
      </w:r>
      <w:r w:rsidR="00B936EE">
        <w:rPr>
          <w:rFonts w:ascii="Trebuchet MS" w:hAnsi="Trebuchet MS"/>
          <w:sz w:val="20"/>
          <w:szCs w:val="20"/>
        </w:rPr>
        <w:t xml:space="preserve">    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340860">
        <w:rPr>
          <w:rFonts w:ascii="Trebuchet MS" w:hAnsi="Trebuchet MS"/>
          <w:sz w:val="20"/>
          <w:szCs w:val="20"/>
        </w:rPr>
        <w:t xml:space="preserve"> </w:t>
      </w:r>
      <w:r w:rsidR="00B936EE">
        <w:rPr>
          <w:rFonts w:ascii="Trebuchet MS" w:hAnsi="Trebuchet MS"/>
          <w:sz w:val="20"/>
          <w:szCs w:val="20"/>
        </w:rPr>
        <w:t>0   punktów</w:t>
      </w:r>
    </w:p>
    <w:p w:rsidR="00696E12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733563">
        <w:rPr>
          <w:rFonts w:ascii="Trebuchet MS" w:hAnsi="Trebuchet MS"/>
          <w:sz w:val="20"/>
          <w:szCs w:val="20"/>
        </w:rPr>
        <w:t xml:space="preserve">pięć </w:t>
      </w:r>
      <w:r w:rsidR="00B936EE">
        <w:rPr>
          <w:rFonts w:ascii="Trebuchet MS" w:hAnsi="Trebuchet MS"/>
          <w:sz w:val="20"/>
          <w:szCs w:val="20"/>
        </w:rPr>
        <w:t>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AA5125">
        <w:rPr>
          <w:rFonts w:ascii="Trebuchet MS" w:hAnsi="Trebuchet MS"/>
          <w:sz w:val="20"/>
          <w:szCs w:val="20"/>
        </w:rPr>
        <w:t>10</w:t>
      </w:r>
      <w:r w:rsidR="004E170C">
        <w:rPr>
          <w:rFonts w:ascii="Trebuchet MS" w:hAnsi="Trebuchet MS"/>
          <w:sz w:val="20"/>
          <w:szCs w:val="20"/>
        </w:rPr>
        <w:t xml:space="preserve">   punktów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</w:t>
      </w:r>
      <w:r w:rsidR="00CB772E">
        <w:rPr>
          <w:rFonts w:ascii="Trebuchet MS" w:hAnsi="Trebuchet MS"/>
          <w:sz w:val="20"/>
          <w:szCs w:val="20"/>
        </w:rPr>
        <w:t xml:space="preserve">  cztery</w:t>
      </w:r>
      <w:r w:rsidR="00B936EE">
        <w:rPr>
          <w:rFonts w:ascii="Trebuchet MS" w:hAnsi="Trebuchet MS"/>
          <w:sz w:val="20"/>
          <w:szCs w:val="20"/>
        </w:rPr>
        <w:t xml:space="preserve"> dni</w:t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AA5125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340860">
        <w:rPr>
          <w:rFonts w:ascii="Trebuchet MS" w:hAnsi="Trebuchet MS"/>
          <w:sz w:val="20"/>
          <w:szCs w:val="20"/>
        </w:rPr>
        <w:t xml:space="preserve">20   </w:t>
      </w:r>
      <w:r>
        <w:rPr>
          <w:rFonts w:ascii="Trebuchet MS" w:hAnsi="Trebuchet MS"/>
          <w:sz w:val="20"/>
          <w:szCs w:val="20"/>
        </w:rPr>
        <w:t>punktów</w:t>
      </w:r>
      <w:r w:rsidR="004E170C">
        <w:rPr>
          <w:rFonts w:ascii="Trebuchet MS" w:hAnsi="Trebuchet MS"/>
          <w:sz w:val="20"/>
          <w:szCs w:val="20"/>
        </w:rPr>
        <w:t xml:space="preserve"> </w:t>
      </w:r>
    </w:p>
    <w:p w:rsidR="004E170C" w:rsidRDefault="00CB772E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trzy</w:t>
      </w:r>
      <w:r w:rsidR="00B936EE">
        <w:rPr>
          <w:rFonts w:ascii="Trebuchet MS" w:hAnsi="Trebuchet MS"/>
          <w:sz w:val="20"/>
          <w:szCs w:val="20"/>
        </w:rPr>
        <w:t xml:space="preserve"> 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AA5125">
        <w:rPr>
          <w:rFonts w:ascii="Trebuchet MS" w:hAnsi="Trebuchet MS"/>
          <w:sz w:val="20"/>
          <w:szCs w:val="20"/>
        </w:rPr>
        <w:t>30</w:t>
      </w:r>
      <w:r w:rsidR="004E170C">
        <w:rPr>
          <w:rFonts w:ascii="Trebuchet MS" w:hAnsi="Trebuchet MS"/>
          <w:sz w:val="20"/>
          <w:szCs w:val="20"/>
        </w:rPr>
        <w:t xml:space="preserve">   punktów</w:t>
      </w:r>
      <w:r w:rsidR="001B34B7">
        <w:rPr>
          <w:rFonts w:ascii="Trebuchet MS" w:hAnsi="Trebuchet MS"/>
          <w:sz w:val="20"/>
          <w:szCs w:val="20"/>
        </w:rPr>
        <w:t xml:space="preserve"> </w:t>
      </w:r>
    </w:p>
    <w:p w:rsidR="001B34B7" w:rsidRDefault="001B34B7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B936EE">
        <w:rPr>
          <w:rFonts w:ascii="Trebuchet MS" w:hAnsi="Trebuchet MS"/>
          <w:sz w:val="20"/>
          <w:szCs w:val="20"/>
        </w:rPr>
        <w:t>dwa 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D575C4">
        <w:rPr>
          <w:rFonts w:ascii="Trebuchet MS" w:hAnsi="Trebuchet MS"/>
          <w:sz w:val="20"/>
          <w:szCs w:val="20"/>
        </w:rPr>
        <w:t>40</w:t>
      </w:r>
      <w:r>
        <w:rPr>
          <w:rFonts w:ascii="Trebuchet MS" w:hAnsi="Trebuchet MS"/>
          <w:sz w:val="20"/>
          <w:szCs w:val="20"/>
        </w:rPr>
        <w:t xml:space="preserve">   punktów           </w:t>
      </w: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Zaoferowany przez Wykonawcę termin dostawy zostanie przyjęty do umowy w sprawie zamówienia jako obowiązujący Wykonawcę, zgodnie ze złożoną deklaracją.</w:t>
      </w:r>
    </w:p>
    <w:p w:rsidR="00AE572F" w:rsidRDefault="004E170C" w:rsidP="00B510C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AE572F" w:rsidRPr="008F00FC" w:rsidRDefault="00AE572F" w:rsidP="00AD0B7E">
      <w:pPr>
        <w:pStyle w:val="Tekstpodstawowy"/>
        <w:numPr>
          <w:ilvl w:val="0"/>
          <w:numId w:val="17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703CC2">
        <w:rPr>
          <w:rFonts w:ascii="Trebuchet MS" w:hAnsi="Trebuchet MS"/>
          <w:b/>
          <w:sz w:val="20"/>
          <w:szCs w:val="20"/>
        </w:rPr>
        <w:t>c</w:t>
      </w:r>
      <w:r w:rsidRPr="008F00FC">
        <w:rPr>
          <w:rFonts w:ascii="Trebuchet MS" w:hAnsi="Trebuchet MS"/>
          <w:b/>
          <w:sz w:val="20"/>
          <w:szCs w:val="20"/>
        </w:rPr>
        <w:t xml:space="preserve">ena 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703CC2">
        <w:rPr>
          <w:rFonts w:ascii="Trebuchet MS" w:hAnsi="Trebuchet MS"/>
          <w:b/>
          <w:sz w:val="20"/>
          <w:szCs w:val="20"/>
        </w:rPr>
        <w:t>t</w:t>
      </w:r>
      <w:r w:rsidR="00854DC8">
        <w:rPr>
          <w:rFonts w:ascii="Trebuchet MS" w:hAnsi="Trebuchet MS"/>
          <w:b/>
          <w:sz w:val="20"/>
          <w:szCs w:val="20"/>
        </w:rPr>
        <w:t>ermin dostawy</w:t>
      </w:r>
    </w:p>
    <w:p w:rsidR="00AE572F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601A9E" w:rsidRPr="008F00FC" w:rsidRDefault="00601A9E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601A9E" w:rsidRPr="00601A9E" w:rsidRDefault="00AE572F" w:rsidP="00601A9E">
      <w:pPr>
        <w:pStyle w:val="Tekstpodstawowy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 xml:space="preserve"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</w:t>
      </w:r>
      <w:r>
        <w:rPr>
          <w:rFonts w:ascii="Trebuchet MS" w:hAnsi="Trebuchet MS"/>
          <w:sz w:val="20"/>
          <w:szCs w:val="20"/>
        </w:rPr>
        <w:lastRenderedPageBreak/>
        <w:t>złożone oferty o takiej samej ceni</w:t>
      </w:r>
      <w:r w:rsidR="001145BB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601A9E" w:rsidRDefault="00601A9E" w:rsidP="00601A9E">
      <w:pPr>
        <w:tabs>
          <w:tab w:val="left" w:pos="2655"/>
        </w:tabs>
        <w:rPr>
          <w:rFonts w:ascii="Trebuchet MS" w:hAnsi="Trebuchet MS"/>
          <w:b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 -  </w:t>
      </w:r>
      <w:r w:rsidR="00DB765E" w:rsidRPr="004C4219">
        <w:rPr>
          <w:rFonts w:ascii="Trebuchet MS" w:hAnsi="Trebuchet MS"/>
          <w:b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AD0B7E">
      <w:pPr>
        <w:pStyle w:val="Tekstpodstawowy"/>
        <w:numPr>
          <w:ilvl w:val="0"/>
          <w:numId w:val="1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</w:t>
      </w:r>
      <w:r w:rsidR="00AD0B7E">
        <w:rPr>
          <w:rFonts w:ascii="Trebuchet MS" w:hAnsi="Trebuchet MS"/>
          <w:sz w:val="20"/>
          <w:szCs w:val="20"/>
        </w:rPr>
        <w:t>a wykluczeniu z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 xml:space="preserve">w wyznaczonym terminie, nie krótszym niż 5 dni, aktualnych na dzień złożenia oświadczeń lub dokumentów potwierdzających okoliczności, o których mowa w art. 25 ust.1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="001145BB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 xml:space="preserve">w przypadku których Zamawiający jest zobowiązany do odrzucenia oferty, zawarte są w art. 89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poprawi w tekście oferty omyłki wskazane w art. 87 ust. 2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, niezwłocznie zawiadamiając o tym Wykonawcę, którego oferta została poprawiona.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w art. 93 ust.1. </w:t>
      </w:r>
    </w:p>
    <w:p w:rsidR="00696E12" w:rsidRDefault="00DB765E" w:rsidP="0095121F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DB069D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069D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069D" w:rsidRPr="008F00FC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  -  </w:t>
      </w:r>
      <w:r w:rsidR="00DB765E" w:rsidRPr="004C4219">
        <w:rPr>
          <w:rFonts w:ascii="Trebuchet MS" w:hAnsi="Trebuchet MS"/>
          <w:b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D61B34">
        <w:rPr>
          <w:rFonts w:ascii="Trebuchet MS" w:hAnsi="Trebuchet MS"/>
          <w:sz w:val="20"/>
          <w:szCs w:val="20"/>
        </w:rPr>
        <w:t>nik nr 4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95121F" w:rsidRPr="00BD435D" w:rsidRDefault="0095121F" w:rsidP="00BD435D">
      <w:pPr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XVII</w:t>
      </w:r>
    </w:p>
    <w:p w:rsidR="00DB765E" w:rsidRDefault="00DB765E" w:rsidP="00696E12">
      <w:pPr>
        <w:spacing w:after="0"/>
        <w:jc w:val="center"/>
        <w:rPr>
          <w:rFonts w:ascii="Trebuchet MS" w:hAnsi="Trebuchet MS"/>
          <w:b/>
        </w:rPr>
      </w:pPr>
      <w:r w:rsidRPr="004C4219">
        <w:rPr>
          <w:rFonts w:ascii="Trebuchet MS" w:hAnsi="Trebuchet MS"/>
          <w:b/>
        </w:rPr>
        <w:lastRenderedPageBreak/>
        <w:t xml:space="preserve">Informacje o formalnościach, jakie powinny zostać dopełnione </w:t>
      </w:r>
      <w:r w:rsidR="00696E12">
        <w:rPr>
          <w:rFonts w:ascii="Trebuchet MS" w:hAnsi="Trebuchet MS"/>
          <w:b/>
        </w:rPr>
        <w:br/>
      </w:r>
      <w:r w:rsidRPr="004C4219">
        <w:rPr>
          <w:rFonts w:ascii="Trebuchet MS" w:hAnsi="Trebuchet MS"/>
          <w:b/>
        </w:rPr>
        <w:t>po</w:t>
      </w:r>
      <w:r w:rsidR="00696E12">
        <w:rPr>
          <w:rFonts w:ascii="Trebuchet MS" w:hAnsi="Trebuchet MS"/>
          <w:b/>
        </w:rPr>
        <w:t xml:space="preserve"> wyborze oferty w celu </w:t>
      </w:r>
      <w:r w:rsidRPr="004C4219">
        <w:rPr>
          <w:rFonts w:ascii="Trebuchet MS" w:hAnsi="Trebuchet MS"/>
          <w:b/>
        </w:rPr>
        <w:t>zawa</w:t>
      </w:r>
      <w:r w:rsidR="004C4219">
        <w:rPr>
          <w:rFonts w:ascii="Trebuchet MS" w:hAnsi="Trebuchet MS"/>
          <w:b/>
        </w:rPr>
        <w:t xml:space="preserve">rcia umowy w sprawie zamówienia </w:t>
      </w:r>
      <w:r w:rsidRPr="004C4219">
        <w:rPr>
          <w:rFonts w:ascii="Trebuchet MS" w:hAnsi="Trebuchet MS"/>
          <w:b/>
        </w:rPr>
        <w:t>publicznego</w:t>
      </w:r>
    </w:p>
    <w:p w:rsidR="00972BC3" w:rsidRPr="004C4219" w:rsidRDefault="00972BC3" w:rsidP="00696E12">
      <w:pPr>
        <w:spacing w:after="0"/>
        <w:jc w:val="center"/>
        <w:rPr>
          <w:rFonts w:ascii="Trebuchet MS" w:hAnsi="Trebuchet MS"/>
          <w:b/>
        </w:rPr>
      </w:pP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1145BB" w:rsidRDefault="004C4219" w:rsidP="001145BB">
      <w:pPr>
        <w:jc w:val="center"/>
        <w:rPr>
          <w:rFonts w:ascii="Trebuchet MS" w:hAnsi="Trebuchet MS"/>
          <w:b/>
        </w:rPr>
      </w:pPr>
      <w:r w:rsidRPr="00267B1B">
        <w:rPr>
          <w:rFonts w:ascii="Trebuchet MS" w:hAnsi="Trebuchet MS"/>
          <w:b/>
          <w:highlight w:val="yellow"/>
        </w:rPr>
        <w:t xml:space="preserve">Część XVIII  -  </w:t>
      </w:r>
      <w:r w:rsidR="00DB765E" w:rsidRPr="00267B1B">
        <w:rPr>
          <w:rFonts w:ascii="Trebuchet MS" w:hAnsi="Trebuchet MS"/>
          <w:b/>
          <w:highlight w:val="yellow"/>
        </w:rPr>
        <w:t>Możliwości z</w:t>
      </w:r>
      <w:r w:rsidR="0084262C" w:rsidRPr="00267B1B">
        <w:rPr>
          <w:rFonts w:ascii="Trebuchet MS" w:hAnsi="Trebuchet MS"/>
          <w:b/>
          <w:highlight w:val="yellow"/>
        </w:rPr>
        <w:t>miany postanowień zawartej umowy</w:t>
      </w:r>
    </w:p>
    <w:p w:rsidR="001145BB" w:rsidRPr="001145BB" w:rsidRDefault="00134A6A" w:rsidP="001145BB">
      <w:pPr>
        <w:pStyle w:val="Akapitzlist"/>
        <w:numPr>
          <w:ilvl w:val="0"/>
          <w:numId w:val="43"/>
        </w:numPr>
        <w:ind w:left="426"/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>Wszelkie zmiany niniejszej Umowy  wymagają  pod  rygorem niew</w:t>
      </w:r>
      <w:r w:rsidR="001145BB">
        <w:rPr>
          <w:rFonts w:ascii="Trebuchet MS" w:hAnsi="Trebuchet MS"/>
          <w:sz w:val="20"/>
          <w:szCs w:val="20"/>
        </w:rPr>
        <w:t>ażności  formy  pisemnej.</w:t>
      </w:r>
    </w:p>
    <w:p w:rsidR="001145BB" w:rsidRPr="001145BB" w:rsidRDefault="00134A6A" w:rsidP="001145BB">
      <w:pPr>
        <w:pStyle w:val="Akapitzlist"/>
        <w:numPr>
          <w:ilvl w:val="0"/>
          <w:numId w:val="43"/>
        </w:numPr>
        <w:ind w:left="426"/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 xml:space="preserve">Na podstawie art.  144 ust.  1 pkt.  1 ustawy  Prawo  zamówień  </w:t>
      </w:r>
      <w:r w:rsidR="001145BB">
        <w:rPr>
          <w:rFonts w:ascii="Trebuchet MS" w:hAnsi="Trebuchet MS"/>
          <w:sz w:val="20"/>
          <w:szCs w:val="20"/>
        </w:rPr>
        <w:t xml:space="preserve">publicznych  Zamawiający </w:t>
      </w:r>
      <w:r w:rsidRPr="001145BB">
        <w:rPr>
          <w:rFonts w:ascii="Trebuchet MS" w:hAnsi="Trebuchet MS"/>
          <w:sz w:val="20"/>
          <w:szCs w:val="20"/>
        </w:rPr>
        <w:t>przewiduje  zmiany  zawartej umowy  w  formie  aneksu, w  szczegól</w:t>
      </w:r>
      <w:r w:rsidR="001145BB">
        <w:rPr>
          <w:rFonts w:ascii="Trebuchet MS" w:hAnsi="Trebuchet MS"/>
          <w:sz w:val="20"/>
          <w:szCs w:val="20"/>
        </w:rPr>
        <w:t>ności  w  następujących sytuacjach:</w:t>
      </w:r>
    </w:p>
    <w:p w:rsidR="006F6FC2" w:rsidRPr="006F6FC2" w:rsidRDefault="006D6458" w:rsidP="001145BB">
      <w:pPr>
        <w:pStyle w:val="Akapitzlist"/>
        <w:numPr>
          <w:ilvl w:val="0"/>
          <w:numId w:val="44"/>
        </w:numPr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>zmiany w zakresie podatku VAT; jeżeli w trakcie  obowiązywania</w:t>
      </w:r>
      <w:r w:rsidR="001145BB">
        <w:rPr>
          <w:rFonts w:ascii="Trebuchet MS" w:hAnsi="Trebuchet MS"/>
          <w:sz w:val="20"/>
          <w:szCs w:val="20"/>
        </w:rPr>
        <w:t xml:space="preserve">  umowy  nastąpi zmiana </w:t>
      </w:r>
      <w:r w:rsidR="001145BB">
        <w:rPr>
          <w:rFonts w:ascii="Trebuchet MS" w:hAnsi="Trebuchet MS"/>
          <w:sz w:val="20"/>
          <w:szCs w:val="20"/>
        </w:rPr>
        <w:br/>
      </w:r>
      <w:r w:rsidRPr="001145BB">
        <w:rPr>
          <w:rFonts w:ascii="Trebuchet MS" w:hAnsi="Trebuchet MS"/>
          <w:sz w:val="20"/>
          <w:szCs w:val="20"/>
        </w:rPr>
        <w:t>w  zakresie  podatku  VAT, Zamawiający   zobowiązuje  się  do  uiszczenia</w:t>
      </w:r>
      <w:r w:rsidR="00AF1F0A" w:rsidRPr="001145BB">
        <w:rPr>
          <w:rFonts w:ascii="Trebuchet MS" w:hAnsi="Trebuchet MS"/>
          <w:sz w:val="20"/>
          <w:szCs w:val="20"/>
        </w:rPr>
        <w:t xml:space="preserve"> </w:t>
      </w:r>
      <w:r w:rsidRPr="001145BB">
        <w:rPr>
          <w:rFonts w:ascii="Trebuchet MS" w:hAnsi="Trebuchet MS"/>
          <w:sz w:val="20"/>
          <w:szCs w:val="20"/>
        </w:rPr>
        <w:t xml:space="preserve"> stawek </w:t>
      </w:r>
      <w:r w:rsidR="006F6FC2">
        <w:rPr>
          <w:rFonts w:ascii="Trebuchet MS" w:hAnsi="Trebuchet MS"/>
          <w:sz w:val="20"/>
          <w:szCs w:val="20"/>
        </w:rPr>
        <w:t xml:space="preserve"> </w:t>
      </w:r>
      <w:r w:rsidR="00AF1F0A" w:rsidRPr="001145BB">
        <w:rPr>
          <w:rFonts w:ascii="Trebuchet MS" w:hAnsi="Trebuchet MS"/>
          <w:sz w:val="20"/>
          <w:szCs w:val="20"/>
        </w:rPr>
        <w:t>wynagrodzenia  powiększonych  o  podatek  od towarów i  usług  w</w:t>
      </w:r>
      <w:r w:rsidR="006F6FC2">
        <w:rPr>
          <w:rFonts w:ascii="Trebuchet MS" w:hAnsi="Trebuchet MS"/>
          <w:sz w:val="20"/>
          <w:szCs w:val="20"/>
        </w:rPr>
        <w:t>edług obowiązującej stawki,</w:t>
      </w:r>
    </w:p>
    <w:p w:rsidR="006F6FC2" w:rsidRPr="006F6FC2" w:rsidRDefault="00AF1F0A" w:rsidP="006F6FC2">
      <w:pPr>
        <w:pStyle w:val="Akapitzlist"/>
        <w:numPr>
          <w:ilvl w:val="0"/>
          <w:numId w:val="44"/>
        </w:numPr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 xml:space="preserve">w razie konieczności  podjęcia  działań  zmierzających do  ograniczenia </w:t>
      </w:r>
      <w:r w:rsidR="006F6FC2">
        <w:rPr>
          <w:rFonts w:ascii="Trebuchet MS" w:hAnsi="Trebuchet MS"/>
          <w:sz w:val="20"/>
          <w:szCs w:val="20"/>
        </w:rPr>
        <w:t xml:space="preserve"> skutków  zdarzenia </w:t>
      </w:r>
      <w:r w:rsidRPr="001145BB">
        <w:rPr>
          <w:rFonts w:ascii="Trebuchet MS" w:hAnsi="Trebuchet MS"/>
          <w:sz w:val="20"/>
          <w:szCs w:val="20"/>
        </w:rPr>
        <w:t>losowego  wywołanego  przez czynniki  zewnętrzne, którego nie</w:t>
      </w:r>
      <w:r w:rsidR="006F6FC2">
        <w:rPr>
          <w:rFonts w:ascii="Trebuchet MS" w:hAnsi="Trebuchet MS"/>
          <w:sz w:val="20"/>
          <w:szCs w:val="20"/>
        </w:rPr>
        <w:t xml:space="preserve">  można  było  przewidzieć działania  siły  wyższej.</w:t>
      </w:r>
    </w:p>
    <w:p w:rsidR="006F6FC2" w:rsidRPr="006F6FC2" w:rsidRDefault="00AF1F0A" w:rsidP="006F6FC2">
      <w:pPr>
        <w:pStyle w:val="Akapitzlist"/>
        <w:numPr>
          <w:ilvl w:val="0"/>
          <w:numId w:val="46"/>
        </w:numPr>
        <w:ind w:left="426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 xml:space="preserve">Nie </w:t>
      </w:r>
      <w:r w:rsidR="00ED2C5A" w:rsidRPr="006F6FC2">
        <w:rPr>
          <w:rFonts w:ascii="Trebuchet MS" w:hAnsi="Trebuchet MS"/>
          <w:sz w:val="20"/>
          <w:szCs w:val="20"/>
        </w:rPr>
        <w:t>stanowi  zmiany  umowy  w  rozumieniu  art. 144  ustawy  Pra</w:t>
      </w:r>
      <w:r w:rsidR="006F6FC2">
        <w:rPr>
          <w:rFonts w:ascii="Trebuchet MS" w:hAnsi="Trebuchet MS"/>
          <w:sz w:val="20"/>
          <w:szCs w:val="20"/>
        </w:rPr>
        <w:t xml:space="preserve">wo  zamówień publicznych </w:t>
      </w:r>
      <w:r w:rsidR="006F6FC2">
        <w:rPr>
          <w:rFonts w:ascii="Trebuchet MS" w:hAnsi="Trebuchet MS"/>
          <w:sz w:val="20"/>
          <w:szCs w:val="20"/>
        </w:rPr>
        <w:br/>
      </w:r>
      <w:r w:rsidR="00ED2C5A" w:rsidRPr="006F6FC2">
        <w:rPr>
          <w:rFonts w:ascii="Trebuchet MS" w:hAnsi="Trebuchet MS"/>
          <w:sz w:val="20"/>
          <w:szCs w:val="20"/>
        </w:rPr>
        <w:t>w  szczególności :</w:t>
      </w:r>
    </w:p>
    <w:p w:rsidR="006F6FC2" w:rsidRPr="006F6FC2" w:rsidRDefault="00ED2C5A" w:rsidP="006F6FC2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>zmiana  danych  związanych  z  obsługą  administracy</w:t>
      </w:r>
      <w:r w:rsidR="002964B7" w:rsidRPr="006F6FC2">
        <w:rPr>
          <w:rFonts w:ascii="Trebuchet MS" w:hAnsi="Trebuchet MS"/>
          <w:sz w:val="20"/>
          <w:szCs w:val="20"/>
        </w:rPr>
        <w:t>jno- or</w:t>
      </w:r>
      <w:r w:rsidR="006F6FC2">
        <w:rPr>
          <w:rFonts w:ascii="Trebuchet MS" w:hAnsi="Trebuchet MS"/>
          <w:sz w:val="20"/>
          <w:szCs w:val="20"/>
        </w:rPr>
        <w:t>ganizacyjną  umowy (</w:t>
      </w:r>
      <w:r w:rsidR="002964B7" w:rsidRPr="006F6FC2">
        <w:rPr>
          <w:rFonts w:ascii="Trebuchet MS" w:hAnsi="Trebuchet MS"/>
          <w:sz w:val="20"/>
          <w:szCs w:val="20"/>
        </w:rPr>
        <w:t>np. zmiana  nr  ra</w:t>
      </w:r>
      <w:r w:rsidR="006F6FC2">
        <w:rPr>
          <w:rFonts w:ascii="Trebuchet MS" w:hAnsi="Trebuchet MS"/>
          <w:sz w:val="20"/>
          <w:szCs w:val="20"/>
        </w:rPr>
        <w:t>chunku  bankowego),</w:t>
      </w:r>
    </w:p>
    <w:p w:rsidR="006F6FC2" w:rsidRPr="006F6FC2" w:rsidRDefault="002964B7" w:rsidP="006F6FC2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>zmiana danych teleadresowych,</w:t>
      </w:r>
    </w:p>
    <w:p w:rsidR="003E584B" w:rsidRPr="006F6FC2" w:rsidRDefault="00AA14AC" w:rsidP="006F6FC2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>zmiana  osób wskazanych  do kontaktów  między  Stronami.</w:t>
      </w:r>
    </w:p>
    <w:p w:rsidR="00DB765E" w:rsidRPr="008F00FC" w:rsidRDefault="00466F44" w:rsidP="00DA09AF">
      <w:pPr>
        <w:tabs>
          <w:tab w:val="left" w:pos="801"/>
          <w:tab w:val="left" w:pos="5585"/>
        </w:tabs>
      </w:pPr>
      <w:r>
        <w:t xml:space="preserve">  </w:t>
      </w:r>
      <w:r w:rsidR="003C1FE6">
        <w:tab/>
      </w:r>
      <w:r w:rsidR="00DA09AF">
        <w:tab/>
      </w:r>
      <w:r w:rsidR="00AA14AC">
        <w:br/>
        <w:t xml:space="preserve">      </w:t>
      </w:r>
      <w:r w:rsidR="003E584B">
        <w:rPr>
          <w:b/>
        </w:rPr>
        <w:t xml:space="preserve">   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XIX  -  </w:t>
      </w:r>
      <w:r w:rsidR="00DB765E" w:rsidRPr="00397297">
        <w:rPr>
          <w:rFonts w:ascii="Trebuchet MS" w:hAnsi="Trebuchet MS"/>
          <w:b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</w:t>
      </w:r>
      <w:r w:rsidR="006F6FC2">
        <w:rPr>
          <w:rFonts w:ascii="Trebuchet MS" w:hAnsi="Trebuchet MS"/>
          <w:sz w:val="20"/>
          <w:szCs w:val="20"/>
        </w:rPr>
        <w:t xml:space="preserve">ego oferta została wybrana jako </w:t>
      </w:r>
      <w:r w:rsidRPr="008F00FC">
        <w:rPr>
          <w:rFonts w:ascii="Trebuchet MS" w:hAnsi="Trebuchet MS"/>
          <w:sz w:val="20"/>
          <w:szCs w:val="20"/>
        </w:rPr>
        <w:t>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181422" w:rsidRDefault="00181422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Część XX</w:t>
      </w:r>
    </w:p>
    <w:p w:rsidR="00DB765E" w:rsidRPr="00397297" w:rsidRDefault="00DB765E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Informacja o przewidywanych zamówieniach, o których mowa w art. 67</w:t>
      </w:r>
      <w:r w:rsidR="00397297">
        <w:rPr>
          <w:rFonts w:ascii="Trebuchet MS" w:hAnsi="Trebuchet MS"/>
          <w:b/>
        </w:rPr>
        <w:t xml:space="preserve"> </w:t>
      </w:r>
      <w:r w:rsidR="00320331">
        <w:rPr>
          <w:rFonts w:ascii="Trebuchet MS" w:hAnsi="Trebuchet MS"/>
          <w:b/>
        </w:rPr>
        <w:t>ust. 1 pkt. 7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  -  </w:t>
      </w:r>
      <w:r w:rsidR="00DB765E" w:rsidRPr="00397297">
        <w:rPr>
          <w:rFonts w:ascii="Trebuchet MS" w:hAnsi="Trebuchet MS"/>
          <w:b/>
        </w:rPr>
        <w:t>Oferty wariantowe</w:t>
      </w:r>
    </w:p>
    <w:p w:rsidR="00DB765E" w:rsidRPr="00BD435D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972BC3" w:rsidRDefault="00972BC3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Pr="008F00FC" w:rsidRDefault="0095121F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  -  </w:t>
      </w:r>
      <w:r w:rsidR="00DB765E" w:rsidRPr="00397297">
        <w:rPr>
          <w:rFonts w:ascii="Trebuchet MS" w:hAnsi="Trebuchet MS"/>
          <w:b/>
        </w:rPr>
        <w:t>Oferty częściowe</w:t>
      </w:r>
    </w:p>
    <w:p w:rsidR="00DB765E" w:rsidRPr="00BD435D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2"/>
          <w:szCs w:val="20"/>
        </w:rPr>
      </w:pPr>
    </w:p>
    <w:p w:rsidR="00DB765E" w:rsidRDefault="00EA66A3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0226A1">
        <w:rPr>
          <w:rFonts w:ascii="Trebuchet MS" w:hAnsi="Trebuchet MS"/>
          <w:sz w:val="20"/>
          <w:szCs w:val="20"/>
        </w:rPr>
        <w:t>nie</w:t>
      </w:r>
      <w:r w:rsidR="00DB765E">
        <w:rPr>
          <w:rFonts w:ascii="Trebuchet MS" w:hAnsi="Trebuchet MS"/>
          <w:sz w:val="20"/>
          <w:szCs w:val="20"/>
        </w:rPr>
        <w:t xml:space="preserve"> dopuszcza składania</w:t>
      </w:r>
      <w:r w:rsidR="00DB765E"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72BC3" w:rsidRPr="008F00FC" w:rsidRDefault="00972BC3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XXIII  -  </w:t>
      </w:r>
      <w:r w:rsidR="00DB765E" w:rsidRPr="00397297">
        <w:rPr>
          <w:rFonts w:ascii="Trebuchet MS" w:hAnsi="Trebuchet MS"/>
          <w:b/>
        </w:rPr>
        <w:t>Informacje dodatkowe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</w:t>
      </w:r>
      <w:r w:rsidR="00181422">
        <w:rPr>
          <w:rFonts w:ascii="Trebuchet MS" w:hAnsi="Trebuchet MS"/>
          <w:sz w:val="20"/>
          <w:szCs w:val="20"/>
        </w:rPr>
        <w:t xml:space="preserve">niejszej z zastosowaniem aukcji </w:t>
      </w:r>
      <w:r w:rsidRPr="008F00FC">
        <w:rPr>
          <w:rFonts w:ascii="Trebuchet MS" w:hAnsi="Trebuchet MS"/>
          <w:sz w:val="20"/>
          <w:szCs w:val="20"/>
        </w:rPr>
        <w:t>elektronicznej.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XXIV  -  </w:t>
      </w:r>
      <w:r w:rsidR="00DB765E" w:rsidRPr="00397297">
        <w:rPr>
          <w:rFonts w:ascii="Trebuchet MS" w:hAnsi="Trebuchet MS"/>
          <w:b/>
        </w:rPr>
        <w:t>Informacje dotyczące przetwarzania danych osobowych</w:t>
      </w:r>
    </w:p>
    <w:p w:rsidR="00320331" w:rsidRPr="00320331" w:rsidRDefault="00320331" w:rsidP="00320331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rebuchet MS" w:eastAsia="Calibri" w:hAnsi="Trebuchet MS" w:cs="Arial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320331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05.2016, str. 1), dalej „RODO”, informuję, że: </w:t>
      </w:r>
    </w:p>
    <w:p w:rsidR="00320331" w:rsidRPr="00320331" w:rsidRDefault="00320331" w:rsidP="00320331">
      <w:pPr>
        <w:pStyle w:val="Akapitzlist"/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Administratorem Pani/Pana danych osobowych jest </w:t>
      </w:r>
      <w:r w:rsidRPr="00320331">
        <w:rPr>
          <w:rFonts w:ascii="Trebuchet MS" w:eastAsia="Calibri" w:hAnsi="Trebuchet MS"/>
          <w:color w:val="000000" w:themeColor="text1"/>
          <w:sz w:val="20"/>
          <w:szCs w:val="20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</w:rPr>
        <w:br/>
      </w:r>
      <w:r w:rsidRPr="00320331">
        <w:rPr>
          <w:rFonts w:ascii="Trebuchet MS" w:eastAsia="Calibri" w:hAnsi="Trebuchet MS"/>
          <w:color w:val="000000" w:themeColor="text1"/>
          <w:sz w:val="20"/>
          <w:szCs w:val="20"/>
        </w:rPr>
        <w:t>w Bielsku-Białej przy ul. Karola Miarki 11</w:t>
      </w:r>
      <w:r w:rsidRPr="00320331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. Sposoby kontaktu z nami: </w:t>
      </w:r>
    </w:p>
    <w:p w:rsidR="00320331" w:rsidRPr="00F721CC" w:rsidRDefault="00320331" w:rsidP="00320331">
      <w:pPr>
        <w:widowControl w:val="0"/>
        <w:numPr>
          <w:ilvl w:val="0"/>
          <w:numId w:val="23"/>
        </w:numPr>
        <w:autoSpaceDE w:val="0"/>
        <w:autoSpaceDN w:val="0"/>
        <w:spacing w:before="3"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adres: 43-300 Bielsko-Biała, ul. Karola Miarki 11</w:t>
      </w:r>
    </w:p>
    <w:p w:rsidR="00320331" w:rsidRPr="00F721CC" w:rsidRDefault="00320331" w:rsidP="0032033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telefon: 33 49 95 650 - Sekretariat </w:t>
      </w:r>
    </w:p>
    <w:p w:rsidR="00320331" w:rsidRPr="00F721CC" w:rsidRDefault="00320331" w:rsidP="00320331">
      <w:pPr>
        <w:widowControl w:val="0"/>
        <w:autoSpaceDE w:val="0"/>
        <w:autoSpaceDN w:val="0"/>
        <w:spacing w:after="0" w:line="276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</w:rPr>
        <w:t xml:space="preserve">    </w:t>
      </w: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 33 49 95 600 – Centrala</w:t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>faks: (33) 49 95 652</w:t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/>
        </w:rPr>
      </w:pPr>
      <w:proofErr w:type="spellStart"/>
      <w:r w:rsidRPr="00F721CC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>adres</w:t>
      </w:r>
      <w:proofErr w:type="spellEnd"/>
      <w:r w:rsidRPr="00F721CC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 xml:space="preserve"> e-mail: sekretariat</w:t>
      </w:r>
      <w:hyperlink r:id="rId9" w:history="1">
        <w:r w:rsidRPr="00F721CC">
          <w:rPr>
            <w:rFonts w:ascii="Trebuchet MS" w:eastAsia="Calibri" w:hAnsi="Trebuchet MS"/>
            <w:color w:val="000000" w:themeColor="text1"/>
            <w:sz w:val="20"/>
            <w:szCs w:val="20"/>
            <w:lang w:val="en-US"/>
          </w:rPr>
          <w:t>@mops.bielsko.pl</w:t>
        </w:r>
      </w:hyperlink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elektroniczna skrzynka podawcza, którą znaleźć można wchodząc na stronę internetową pod adresem </w:t>
      </w:r>
      <w:hyperlink r:id="rId10" w:history="1">
        <w:r w:rsidRPr="00F721CC">
          <w:rPr>
            <w:rFonts w:ascii="Trebuchet MS" w:eastAsia="Calibri" w:hAnsi="Trebuchet MS"/>
            <w:color w:val="000000" w:themeColor="text1"/>
            <w:sz w:val="20"/>
            <w:szCs w:val="20"/>
          </w:rPr>
          <w:t>www.mops.bielsko.pl</w:t>
        </w:r>
      </w:hyperlink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(zakładka: Kontakt).</w:t>
      </w:r>
    </w:p>
    <w:p w:rsidR="00320331" w:rsidRPr="00320331" w:rsidRDefault="00320331" w:rsidP="00320331">
      <w:pPr>
        <w:pStyle w:val="Akapitzlist"/>
        <w:widowControl w:val="0"/>
        <w:numPr>
          <w:ilvl w:val="1"/>
          <w:numId w:val="35"/>
        </w:numPr>
        <w:autoSpaceDE w:val="0"/>
        <w:autoSpaceDN w:val="0"/>
        <w:spacing w:after="0" w:line="276" w:lineRule="auto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ngsana New"/>
          <w:color w:val="000000" w:themeColor="text1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korespondencyjnego:</w:t>
      </w: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ab/>
        <w:t>Miejski Ośrodek Pomocy Społecznej w Bielsku-Białej</w:t>
      </w:r>
    </w:p>
    <w:p w:rsidR="00320331" w:rsidRPr="00F721CC" w:rsidRDefault="00320331" w:rsidP="00320331">
      <w:pPr>
        <w:widowControl w:val="0"/>
        <w:autoSpaceDE w:val="0"/>
        <w:autoSpaceDN w:val="0"/>
        <w:spacing w:after="0" w:line="276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43-300 Bielsko-Biała, ul. Karola Miarki 11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e-mail: iod@mops.bielsko.pl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686017">
        <w:rPr>
          <w:rFonts w:ascii="Trebuchet MS" w:eastAsia="Calibri" w:hAnsi="Trebuchet MS" w:cs="Angsana New"/>
          <w:color w:val="000000" w:themeColor="text1"/>
          <w:sz w:val="20"/>
          <w:szCs w:val="20"/>
        </w:rPr>
        <w:t>ust. 1 lit. c RODO).</w:t>
      </w:r>
    </w:p>
    <w:p w:rsidR="00320331" w:rsidRPr="003F3F1A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320331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320331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pracownicy obsługujący proces związany z postępowaniem o udzielenie zamówienia publicznego, wykonywaniem oraz rozliczeniem umowy, a także nadzorujący ten proces,</w:t>
      </w:r>
    </w:p>
    <w:p w:rsidR="00320331" w:rsidRPr="003F3F1A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320331" w:rsidRPr="003F3F1A" w:rsidRDefault="00320331" w:rsidP="00320331">
      <w:pPr>
        <w:widowControl w:val="0"/>
        <w:autoSpaceDE w:val="0"/>
        <w:autoSpaceDN w:val="0"/>
        <w:spacing w:before="3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320331" w:rsidRPr="003F3F1A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320331" w:rsidRPr="0020500E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320331" w:rsidRPr="00686017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320331" w:rsidRPr="007313F2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320331" w:rsidRPr="007313F2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320331" w:rsidRPr="007313F2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320331" w:rsidRPr="00891F3A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320331" w:rsidRPr="00891F3A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Urzędu Ochrony Danych Osobowych</w:t>
      </w:r>
      <w:r w:rsidR="00972BC3"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="00972BC3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320331" w:rsidRPr="00891F3A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320331" w:rsidRPr="007313F2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</w:t>
      </w:r>
      <w:r w:rsidR="00972BC3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 RODO prawo do usunięcia danych </w:t>
      </w:r>
      <w:r w:rsidRPr="007313F2">
        <w:rPr>
          <w:rFonts w:ascii="Trebuchet MS" w:eastAsia="Calibri" w:hAnsi="Trebuchet MS" w:cs="Angsana New"/>
          <w:color w:val="000000" w:themeColor="text1"/>
          <w:sz w:val="20"/>
          <w:szCs w:val="20"/>
        </w:rPr>
        <w:t>osobowych,</w:t>
      </w:r>
    </w:p>
    <w:p w:rsidR="00320331" w:rsidRPr="00E17296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E17296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320331" w:rsidRPr="005379F9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320331" w:rsidRDefault="00320331" w:rsidP="00320331">
      <w:pPr>
        <w:pStyle w:val="Akapitzlist"/>
        <w:spacing w:line="276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320331" w:rsidRPr="007313F2" w:rsidRDefault="00320331" w:rsidP="00320331">
      <w:pPr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320331" w:rsidRPr="007313F2" w:rsidRDefault="00320331" w:rsidP="00320331">
      <w:pPr>
        <w:spacing w:after="0" w:line="276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20331" w:rsidRDefault="00320331" w:rsidP="00320331">
      <w:pPr>
        <w:pStyle w:val="Akapitzlist"/>
        <w:spacing w:line="276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370AC7" w:rsidRDefault="00370AC7" w:rsidP="00972BC3">
      <w:pPr>
        <w:rPr>
          <w:rFonts w:ascii="Trebuchet MS" w:hAnsi="Trebuchet MS"/>
          <w:b/>
        </w:rPr>
      </w:pPr>
    </w:p>
    <w:p w:rsidR="00397297" w:rsidRPr="00397297" w:rsidRDefault="00397297" w:rsidP="00181422">
      <w:pPr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lastRenderedPageBreak/>
        <w:t>Część XXV  -  Środki ochrony prawnej</w:t>
      </w:r>
    </w:p>
    <w:p w:rsidR="003E584B" w:rsidRDefault="003E584B" w:rsidP="00BD435D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466F44" w:rsidRPr="008F00FC" w:rsidRDefault="00466F44" w:rsidP="00466F44">
      <w:pPr>
        <w:spacing w:after="0"/>
        <w:rPr>
          <w:rFonts w:ascii="Trebuchet MS" w:hAnsi="Trebuchet MS"/>
          <w:sz w:val="20"/>
          <w:szCs w:val="20"/>
        </w:rPr>
      </w:pP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276" w:lineRule="auto"/>
        <w:ind w:left="426" w:hanging="426"/>
        <w:rPr>
          <w:rFonts w:ascii="Trebuchet MS" w:hAnsi="Trebuchet MS" w:cs="Arial"/>
          <w:b/>
          <w:sz w:val="20"/>
        </w:rPr>
      </w:pPr>
      <w:r w:rsidRPr="001D100D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1D100D">
        <w:rPr>
          <w:rFonts w:ascii="Trebuchet MS" w:hAnsi="Trebuchet MS" w:cs="Arial"/>
          <w:b/>
          <w:sz w:val="20"/>
        </w:rPr>
        <w:t>działu VI ustawy</w:t>
      </w:r>
      <w:r w:rsidRPr="001D100D">
        <w:rPr>
          <w:rFonts w:ascii="Trebuchet MS" w:hAnsi="Trebuchet MS" w:cs="Arial"/>
          <w:sz w:val="20"/>
        </w:rPr>
        <w:t xml:space="preserve"> – Środki ochrony prawnej (</w:t>
      </w:r>
      <w:r w:rsidRPr="001D100D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60 mm"/>
        </w:smartTagPr>
        <w:r w:rsidRPr="001D100D">
          <w:rPr>
            <w:rFonts w:ascii="Trebuchet MS" w:hAnsi="Trebuchet MS" w:cs="Arial"/>
            <w:b/>
            <w:sz w:val="20"/>
          </w:rPr>
          <w:t>198 g</w:t>
        </w:r>
      </w:smartTag>
      <w:r w:rsidRPr="001D100D">
        <w:rPr>
          <w:rFonts w:ascii="Trebuchet MS" w:hAnsi="Trebuchet MS" w:cs="Arial"/>
          <w:b/>
          <w:sz w:val="20"/>
        </w:rPr>
        <w:t xml:space="preserve"> ustawy</w:t>
      </w:r>
      <w:r>
        <w:rPr>
          <w:rFonts w:ascii="Trebuchet MS" w:hAnsi="Trebuchet MS" w:cs="Arial"/>
          <w:b/>
          <w:sz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</w:rPr>
        <w:t>Pzp</w:t>
      </w:r>
      <w:proofErr w:type="spellEnd"/>
      <w:r w:rsidRPr="001D100D">
        <w:rPr>
          <w:rFonts w:ascii="Trebuchet MS" w:hAnsi="Trebuchet MS" w:cs="Arial"/>
          <w:sz w:val="20"/>
        </w:rPr>
        <w:t>)</w:t>
      </w:r>
      <w:r w:rsidRPr="001D100D">
        <w:rPr>
          <w:rFonts w:ascii="Trebuchet MS" w:hAnsi="Trebuchet MS" w:cs="Arial"/>
          <w:b/>
          <w:sz w:val="20"/>
        </w:rPr>
        <w:t>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466F44" w:rsidRPr="006E0BB9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num" w:pos="567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Terminy wnoszenia </w:t>
      </w:r>
      <w:proofErr w:type="spellStart"/>
      <w:r w:rsidRPr="001D100D">
        <w:rPr>
          <w:rFonts w:ascii="Trebuchet MS" w:hAnsi="Trebuchet MS" w:cs="Arial"/>
          <w:sz w:val="20"/>
        </w:rPr>
        <w:t>odwołań</w:t>
      </w:r>
      <w:proofErr w:type="spellEnd"/>
      <w:r w:rsidRPr="001D100D">
        <w:rPr>
          <w:rFonts w:ascii="Trebuchet MS" w:hAnsi="Trebuchet MS" w:cs="Arial"/>
          <w:sz w:val="20"/>
        </w:rPr>
        <w:t>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284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4.1.</w:t>
      </w:r>
      <w:r w:rsidRPr="001D100D">
        <w:rPr>
          <w:rFonts w:ascii="Trebuchet MS" w:hAnsi="Trebuchet MS" w:cs="Arial"/>
          <w:sz w:val="20"/>
        </w:rPr>
        <w:tab/>
        <w:t>Odwołanie wnosi się: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720"/>
        <w:rPr>
          <w:rFonts w:ascii="Trebuchet MS" w:hAnsi="Trebuchet MS" w:cs="Tahoma"/>
          <w:sz w:val="20"/>
        </w:rPr>
      </w:pPr>
      <w:r w:rsidRPr="001D100D">
        <w:rPr>
          <w:rFonts w:ascii="Trebuchet MS" w:hAnsi="Trebuchet MS" w:cs="Tahoma"/>
          <w:bCs/>
          <w:sz w:val="20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1D100D">
        <w:rPr>
          <w:rFonts w:ascii="Trebuchet MS" w:hAnsi="Trebuchet MS" w:cs="Tahoma"/>
          <w:sz w:val="20"/>
        </w:rPr>
        <w:t>,</w:t>
      </w:r>
    </w:p>
    <w:p w:rsidR="00466F44" w:rsidRDefault="00466F44" w:rsidP="00466F44">
      <w:pPr>
        <w:pStyle w:val="Tekstpodstawowy"/>
        <w:tabs>
          <w:tab w:val="left" w:pos="720"/>
        </w:tabs>
        <w:spacing w:line="276" w:lineRule="auto"/>
        <w:ind w:left="720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4.2.</w:t>
      </w:r>
      <w:r w:rsidRPr="001D100D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:rsidR="006F6FC2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 w:rsidRPr="00DC0F18">
        <w:rPr>
          <w:rFonts w:ascii="Trebuchet MS" w:hAnsi="Trebuchet MS" w:cs="Arial"/>
          <w:sz w:val="20"/>
        </w:rPr>
        <w:t xml:space="preserve">4.3. </w:t>
      </w:r>
      <w:r w:rsidRPr="001D100D">
        <w:rPr>
          <w:rFonts w:ascii="Trebuchet MS" w:hAnsi="Trebuchet MS" w:cs="Arial"/>
          <w:sz w:val="20"/>
        </w:rPr>
        <w:t>Odwołanie wobec czynności innych niż określone w pkt. 4.1. i 4.2. wnosi się w terminie: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wnosi się do Prezesa Izby w formie pisemnej w postaci papierowej albo w postaci elektronicznej, opatrzone odpowiedni własnoręcznym podpisem albo kwalifikowanym podpisem elektronicznym.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podlega rozpoznaniu, jeżeli:</w:t>
      </w:r>
    </w:p>
    <w:p w:rsidR="00466F44" w:rsidRPr="001D100D" w:rsidRDefault="00466F44" w:rsidP="00466F44">
      <w:pPr>
        <w:pStyle w:val="Tekstpodstawowy"/>
        <w:spacing w:line="276" w:lineRule="auto"/>
        <w:ind w:left="1134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a) nie zawiera braków formalnych;</w:t>
      </w:r>
    </w:p>
    <w:p w:rsidR="00466F44" w:rsidRPr="001D100D" w:rsidRDefault="00466F44" w:rsidP="00466F44">
      <w:pPr>
        <w:pStyle w:val="Tekstpodstawowy"/>
        <w:spacing w:line="276" w:lineRule="auto"/>
        <w:ind w:left="993" w:hanging="295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b) uiszczono wpis (wpis uiszcza się najpóźniej do dnia upływu terminu do wnies</w:t>
      </w:r>
      <w:r>
        <w:rPr>
          <w:rFonts w:ascii="Trebuchet MS" w:hAnsi="Trebuchet MS" w:cs="Arial"/>
          <w:sz w:val="20"/>
        </w:rPr>
        <w:t>ienia odwołania, a </w:t>
      </w:r>
      <w:r w:rsidRPr="001D100D">
        <w:rPr>
          <w:rFonts w:ascii="Trebuchet MS" w:hAnsi="Trebuchet MS" w:cs="Arial"/>
          <w:sz w:val="20"/>
        </w:rPr>
        <w:t>dowód jego uiszczenia dołącza się do odwołania).</w:t>
      </w:r>
    </w:p>
    <w:p w:rsidR="00466F44" w:rsidRPr="0010534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1D100D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postępowaniu toczącym się wskutek wniesienia skargi stosuje się odpowiednio przepisy ustawy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z dnia 17 listopada 1964 r. – Kodeks postępowania cywilnego o apelacji, jeżeli przepisy ustawy nie stanowią inaczej.</w:t>
      </w:r>
      <w:r w:rsidRPr="001D100D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lastRenderedPageBreak/>
        <w:t>Skargę wnosi się do sądu właściwego dla siedziby albo miejsc</w:t>
      </w:r>
      <w:r>
        <w:rPr>
          <w:rFonts w:ascii="Trebuchet MS" w:hAnsi="Trebuchet MS" w:cs="Arial"/>
          <w:sz w:val="20"/>
        </w:rPr>
        <w:t>a zamieszkania zamawiającego za </w:t>
      </w:r>
      <w:r w:rsidRPr="001D100D">
        <w:rPr>
          <w:rFonts w:ascii="Trebuchet MS" w:hAnsi="Trebuchet MS" w:cs="Arial"/>
          <w:sz w:val="20"/>
        </w:rPr>
        <w:t xml:space="preserve">pośrednictwem Prezesa Izby w terminie </w:t>
      </w:r>
      <w:r w:rsidRPr="001D100D">
        <w:rPr>
          <w:rFonts w:ascii="Trebuchet MS" w:hAnsi="Trebuchet MS" w:cs="Arial"/>
          <w:b/>
          <w:sz w:val="20"/>
        </w:rPr>
        <w:t>7 dni</w:t>
      </w:r>
      <w:r w:rsidRPr="001D100D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terminie </w:t>
      </w:r>
      <w:r w:rsidRPr="001D100D">
        <w:rPr>
          <w:rFonts w:ascii="Trebuchet MS" w:hAnsi="Trebuchet MS" w:cs="Arial"/>
          <w:b/>
          <w:sz w:val="20"/>
        </w:rPr>
        <w:t>21 dni</w:t>
      </w:r>
      <w:r w:rsidRPr="001D100D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</w:t>
      </w:r>
      <w:r w:rsidR="006F6FC2"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17 listopada 1964 r. – Kodeks postępowania cywilnego o prokuraturze.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466F44" w:rsidRPr="0010534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Wykonawca może w terminie przewidzianym do wniesienia odwołania poinformować zamawiającego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o niezgodnej z przepisami ustawy czy</w:t>
      </w:r>
      <w:r>
        <w:rPr>
          <w:rFonts w:ascii="Trebuchet MS" w:hAnsi="Trebuchet MS" w:cs="Arial"/>
          <w:sz w:val="20"/>
        </w:rPr>
        <w:t>nności podjętej przez niego lub </w:t>
      </w:r>
      <w:r w:rsidRPr="001D100D">
        <w:rPr>
          <w:rFonts w:ascii="Trebuchet MS" w:hAnsi="Trebuchet MS" w:cs="Arial"/>
          <w:sz w:val="20"/>
        </w:rPr>
        <w:t>zaniechaniu czynności, do której jest on zobowiązany na podstawie ustawy,</w:t>
      </w:r>
      <w:r w:rsidRPr="001D100D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na które nie </w:t>
      </w:r>
      <w:r w:rsidRPr="001D100D">
        <w:rPr>
          <w:rFonts w:ascii="Trebuchet MS" w:hAnsi="Trebuchet MS" w:cs="Arial"/>
          <w:sz w:val="20"/>
        </w:rPr>
        <w:t>przysługuje odwołanie na podstawie art. 180 ust. 2 ustawy.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przypadku uznania zasadności przekazanej informacji zam</w:t>
      </w:r>
      <w:r>
        <w:rPr>
          <w:rFonts w:ascii="Trebuchet MS" w:hAnsi="Trebuchet MS" w:cs="Arial"/>
          <w:sz w:val="20"/>
        </w:rPr>
        <w:t>awiający powtarza czynność albo </w:t>
      </w:r>
      <w:r w:rsidRPr="001D100D">
        <w:rPr>
          <w:rFonts w:ascii="Trebuchet MS" w:hAnsi="Trebuchet MS" w:cs="Arial"/>
          <w:sz w:val="20"/>
        </w:rPr>
        <w:t>dokonuje czynności zaniechanej, informując o tym wykonawców w sposób przewidziany w ustawie dla tej czynności.</w:t>
      </w:r>
    </w:p>
    <w:p w:rsidR="00466F44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czynności, o których mowa powyżej, nie przysługuje odwołanie, z zastrzeżeniem art. 180 ust 2 ustawy.</w:t>
      </w:r>
    </w:p>
    <w:p w:rsidR="00466F44" w:rsidRDefault="00466F44" w:rsidP="00466F44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466F44" w:rsidRDefault="00466F44" w:rsidP="00466F44"/>
    <w:p w:rsidR="00AE572F" w:rsidRPr="003E584B" w:rsidRDefault="00AE572F" w:rsidP="003E584B"/>
    <w:sectPr w:rsidR="00AE572F" w:rsidRPr="003E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A0" w:rsidRDefault="00E505A0" w:rsidP="0011469B">
      <w:pPr>
        <w:spacing w:after="0" w:line="240" w:lineRule="auto"/>
      </w:pPr>
      <w:r>
        <w:separator/>
      </w:r>
    </w:p>
  </w:endnote>
  <w:end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A0" w:rsidRDefault="00E505A0" w:rsidP="0011469B">
      <w:pPr>
        <w:spacing w:after="0" w:line="240" w:lineRule="auto"/>
      </w:pPr>
      <w:r>
        <w:separator/>
      </w:r>
    </w:p>
  </w:footnote>
  <w:foot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BF4"/>
    <w:multiLevelType w:val="hybridMultilevel"/>
    <w:tmpl w:val="10C812E8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02C16365"/>
    <w:multiLevelType w:val="hybridMultilevel"/>
    <w:tmpl w:val="9A7E5F24"/>
    <w:lvl w:ilvl="0" w:tplc="728E272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434F9B"/>
    <w:multiLevelType w:val="multilevel"/>
    <w:tmpl w:val="CE007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5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D56088"/>
    <w:multiLevelType w:val="hybridMultilevel"/>
    <w:tmpl w:val="3F5AB37A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D3150FE"/>
    <w:multiLevelType w:val="multilevel"/>
    <w:tmpl w:val="D3FCED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E03419F"/>
    <w:multiLevelType w:val="hybridMultilevel"/>
    <w:tmpl w:val="56347806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12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F66A2"/>
    <w:multiLevelType w:val="hybridMultilevel"/>
    <w:tmpl w:val="3DDC8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22">
    <w:nsid w:val="35E41F38"/>
    <w:multiLevelType w:val="hybridMultilevel"/>
    <w:tmpl w:val="40DCBA6C"/>
    <w:lvl w:ilvl="0" w:tplc="37F62D38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51652"/>
    <w:multiLevelType w:val="hybridMultilevel"/>
    <w:tmpl w:val="EB0832CC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5">
    <w:nsid w:val="41DC692E"/>
    <w:multiLevelType w:val="hybridMultilevel"/>
    <w:tmpl w:val="0CBABEFA"/>
    <w:lvl w:ilvl="0" w:tplc="EF5EA7C0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27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8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5">
    <w:nsid w:val="5D1A7FAC"/>
    <w:multiLevelType w:val="hybridMultilevel"/>
    <w:tmpl w:val="DDA83348"/>
    <w:lvl w:ilvl="0" w:tplc="AEC4427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37">
    <w:nsid w:val="5F4F164C"/>
    <w:multiLevelType w:val="multilevel"/>
    <w:tmpl w:val="1C70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277"/>
        </w:tabs>
        <w:ind w:left="127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61B33BF"/>
    <w:multiLevelType w:val="hybridMultilevel"/>
    <w:tmpl w:val="35A212D4"/>
    <w:lvl w:ilvl="0" w:tplc="942AA9F2">
      <w:start w:val="1"/>
      <w:numFmt w:val="lowerLetter"/>
      <w:lvlText w:val="%1)"/>
      <w:lvlJc w:val="left"/>
      <w:pPr>
        <w:ind w:left="786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46343"/>
    <w:multiLevelType w:val="hybridMultilevel"/>
    <w:tmpl w:val="9B64BE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D161120"/>
    <w:multiLevelType w:val="hybridMultilevel"/>
    <w:tmpl w:val="2884C118"/>
    <w:lvl w:ilvl="0" w:tplc="71BE091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0"/>
  </w:num>
  <w:num w:numId="4">
    <w:abstractNumId w:val="42"/>
  </w:num>
  <w:num w:numId="5">
    <w:abstractNumId w:val="17"/>
  </w:num>
  <w:num w:numId="6">
    <w:abstractNumId w:val="43"/>
  </w:num>
  <w:num w:numId="7">
    <w:abstractNumId w:val="8"/>
  </w:num>
  <w:num w:numId="8">
    <w:abstractNumId w:val="14"/>
  </w:num>
  <w:num w:numId="9">
    <w:abstractNumId w:val="27"/>
  </w:num>
  <w:num w:numId="10">
    <w:abstractNumId w:val="34"/>
  </w:num>
  <w:num w:numId="11">
    <w:abstractNumId w:val="44"/>
  </w:num>
  <w:num w:numId="12">
    <w:abstractNumId w:val="18"/>
  </w:num>
  <w:num w:numId="13">
    <w:abstractNumId w:val="28"/>
  </w:num>
  <w:num w:numId="14">
    <w:abstractNumId w:val="3"/>
  </w:num>
  <w:num w:numId="15">
    <w:abstractNumId w:val="39"/>
  </w:num>
  <w:num w:numId="16">
    <w:abstractNumId w:val="15"/>
  </w:num>
  <w:num w:numId="17">
    <w:abstractNumId w:val="31"/>
  </w:num>
  <w:num w:numId="18">
    <w:abstractNumId w:val="23"/>
  </w:num>
  <w:num w:numId="19">
    <w:abstractNumId w:val="13"/>
  </w:num>
  <w:num w:numId="20">
    <w:abstractNumId w:val="33"/>
  </w:num>
  <w:num w:numId="21">
    <w:abstractNumId w:val="0"/>
  </w:num>
  <w:num w:numId="22">
    <w:abstractNumId w:val="12"/>
  </w:num>
  <w:num w:numId="23">
    <w:abstractNumId w:val="32"/>
  </w:num>
  <w:num w:numId="24">
    <w:abstractNumId w:val="19"/>
  </w:num>
  <w:num w:numId="25">
    <w:abstractNumId w:val="29"/>
  </w:num>
  <w:num w:numId="26">
    <w:abstractNumId w:val="20"/>
  </w:num>
  <w:num w:numId="27">
    <w:abstractNumId w:val="5"/>
  </w:num>
  <w:num w:numId="28">
    <w:abstractNumId w:val="30"/>
  </w:num>
  <w:num w:numId="29">
    <w:abstractNumId w:val="36"/>
  </w:num>
  <w:num w:numId="30">
    <w:abstractNumId w:val="21"/>
  </w:num>
  <w:num w:numId="31">
    <w:abstractNumId w:val="38"/>
  </w:num>
  <w:num w:numId="32">
    <w:abstractNumId w:val="37"/>
  </w:num>
  <w:num w:numId="33">
    <w:abstractNumId w:val="9"/>
  </w:num>
  <w:num w:numId="34">
    <w:abstractNumId w:val="2"/>
  </w:num>
  <w:num w:numId="35">
    <w:abstractNumId w:val="4"/>
  </w:num>
  <w:num w:numId="36">
    <w:abstractNumId w:val="35"/>
  </w:num>
  <w:num w:numId="37">
    <w:abstractNumId w:val="26"/>
  </w:num>
  <w:num w:numId="38">
    <w:abstractNumId w:val="24"/>
  </w:num>
  <w:num w:numId="39">
    <w:abstractNumId w:val="1"/>
  </w:num>
  <w:num w:numId="40">
    <w:abstractNumId w:val="6"/>
  </w:num>
  <w:num w:numId="41">
    <w:abstractNumId w:val="10"/>
  </w:num>
  <w:num w:numId="42">
    <w:abstractNumId w:val="16"/>
  </w:num>
  <w:num w:numId="43">
    <w:abstractNumId w:val="46"/>
  </w:num>
  <w:num w:numId="44">
    <w:abstractNumId w:val="41"/>
  </w:num>
  <w:num w:numId="45">
    <w:abstractNumId w:val="45"/>
  </w:num>
  <w:num w:numId="46">
    <w:abstractNumId w:val="25"/>
  </w:num>
  <w:num w:numId="47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2"/>
    <w:rsid w:val="00014ADA"/>
    <w:rsid w:val="00016432"/>
    <w:rsid w:val="000224FE"/>
    <w:rsid w:val="000226A1"/>
    <w:rsid w:val="0002348C"/>
    <w:rsid w:val="0003060E"/>
    <w:rsid w:val="00032EA3"/>
    <w:rsid w:val="00035783"/>
    <w:rsid w:val="00044997"/>
    <w:rsid w:val="00060328"/>
    <w:rsid w:val="00067D2F"/>
    <w:rsid w:val="0008159C"/>
    <w:rsid w:val="0008539E"/>
    <w:rsid w:val="0009528B"/>
    <w:rsid w:val="000A0058"/>
    <w:rsid w:val="000A7C66"/>
    <w:rsid w:val="000B0DE3"/>
    <w:rsid w:val="000B2E0F"/>
    <w:rsid w:val="000E5937"/>
    <w:rsid w:val="000F28BB"/>
    <w:rsid w:val="000F3754"/>
    <w:rsid w:val="00101887"/>
    <w:rsid w:val="00102085"/>
    <w:rsid w:val="0010277B"/>
    <w:rsid w:val="00113F70"/>
    <w:rsid w:val="001145BB"/>
    <w:rsid w:val="0011469B"/>
    <w:rsid w:val="00126531"/>
    <w:rsid w:val="00127433"/>
    <w:rsid w:val="00134A6A"/>
    <w:rsid w:val="00157C02"/>
    <w:rsid w:val="00170963"/>
    <w:rsid w:val="0017593D"/>
    <w:rsid w:val="0018078F"/>
    <w:rsid w:val="00181422"/>
    <w:rsid w:val="001A256F"/>
    <w:rsid w:val="001B34B7"/>
    <w:rsid w:val="001B3B50"/>
    <w:rsid w:val="001B7F64"/>
    <w:rsid w:val="001D1AC9"/>
    <w:rsid w:val="001E07D5"/>
    <w:rsid w:val="001E6B66"/>
    <w:rsid w:val="001F60F1"/>
    <w:rsid w:val="001F6213"/>
    <w:rsid w:val="002008C1"/>
    <w:rsid w:val="00203523"/>
    <w:rsid w:val="002067AC"/>
    <w:rsid w:val="0020683C"/>
    <w:rsid w:val="00214EE3"/>
    <w:rsid w:val="00217788"/>
    <w:rsid w:val="0022354A"/>
    <w:rsid w:val="00240FE0"/>
    <w:rsid w:val="00241432"/>
    <w:rsid w:val="00244964"/>
    <w:rsid w:val="002528D7"/>
    <w:rsid w:val="00255BED"/>
    <w:rsid w:val="00267B1B"/>
    <w:rsid w:val="00274845"/>
    <w:rsid w:val="0027748C"/>
    <w:rsid w:val="00280861"/>
    <w:rsid w:val="0028147D"/>
    <w:rsid w:val="00282471"/>
    <w:rsid w:val="002964B7"/>
    <w:rsid w:val="002A098B"/>
    <w:rsid w:val="002A564A"/>
    <w:rsid w:val="002A5DA8"/>
    <w:rsid w:val="002B359B"/>
    <w:rsid w:val="002B7819"/>
    <w:rsid w:val="002D2094"/>
    <w:rsid w:val="00317515"/>
    <w:rsid w:val="00320331"/>
    <w:rsid w:val="0033357D"/>
    <w:rsid w:val="00337EC4"/>
    <w:rsid w:val="00340860"/>
    <w:rsid w:val="00342818"/>
    <w:rsid w:val="00352766"/>
    <w:rsid w:val="00363547"/>
    <w:rsid w:val="00367CF0"/>
    <w:rsid w:val="00370AC7"/>
    <w:rsid w:val="00373CFD"/>
    <w:rsid w:val="00397297"/>
    <w:rsid w:val="003A2BF8"/>
    <w:rsid w:val="003A44B9"/>
    <w:rsid w:val="003A4C9F"/>
    <w:rsid w:val="003B24E9"/>
    <w:rsid w:val="003C1FE6"/>
    <w:rsid w:val="003C5265"/>
    <w:rsid w:val="003D304F"/>
    <w:rsid w:val="003E4140"/>
    <w:rsid w:val="003E584B"/>
    <w:rsid w:val="003F555B"/>
    <w:rsid w:val="00406665"/>
    <w:rsid w:val="00411AA8"/>
    <w:rsid w:val="0042093B"/>
    <w:rsid w:val="00420E3F"/>
    <w:rsid w:val="00436B1C"/>
    <w:rsid w:val="0045216D"/>
    <w:rsid w:val="00466F44"/>
    <w:rsid w:val="00473C06"/>
    <w:rsid w:val="0047520C"/>
    <w:rsid w:val="00482B6B"/>
    <w:rsid w:val="00485663"/>
    <w:rsid w:val="00493F41"/>
    <w:rsid w:val="004A6A5D"/>
    <w:rsid w:val="004B1346"/>
    <w:rsid w:val="004B5072"/>
    <w:rsid w:val="004C4219"/>
    <w:rsid w:val="004D1DFE"/>
    <w:rsid w:val="004E170C"/>
    <w:rsid w:val="004E6CAA"/>
    <w:rsid w:val="004F2E1C"/>
    <w:rsid w:val="004F7DEE"/>
    <w:rsid w:val="0051063F"/>
    <w:rsid w:val="00514766"/>
    <w:rsid w:val="00520811"/>
    <w:rsid w:val="00525DA8"/>
    <w:rsid w:val="00536411"/>
    <w:rsid w:val="00561FC1"/>
    <w:rsid w:val="0056284A"/>
    <w:rsid w:val="005709E1"/>
    <w:rsid w:val="00587367"/>
    <w:rsid w:val="00594628"/>
    <w:rsid w:val="005E2BA4"/>
    <w:rsid w:val="005E2C8F"/>
    <w:rsid w:val="005E658F"/>
    <w:rsid w:val="005E6F32"/>
    <w:rsid w:val="00601A9E"/>
    <w:rsid w:val="00611F07"/>
    <w:rsid w:val="00613C2B"/>
    <w:rsid w:val="00616DBE"/>
    <w:rsid w:val="0062187D"/>
    <w:rsid w:val="0062720A"/>
    <w:rsid w:val="00627724"/>
    <w:rsid w:val="0063413F"/>
    <w:rsid w:val="006378B4"/>
    <w:rsid w:val="006466A8"/>
    <w:rsid w:val="0065171C"/>
    <w:rsid w:val="00671AE2"/>
    <w:rsid w:val="0068344C"/>
    <w:rsid w:val="00696640"/>
    <w:rsid w:val="00696E12"/>
    <w:rsid w:val="006A0DFE"/>
    <w:rsid w:val="006A1AC7"/>
    <w:rsid w:val="006B74A2"/>
    <w:rsid w:val="006C4BEB"/>
    <w:rsid w:val="006D6458"/>
    <w:rsid w:val="006E2562"/>
    <w:rsid w:val="006E4779"/>
    <w:rsid w:val="006E773C"/>
    <w:rsid w:val="006F1A1B"/>
    <w:rsid w:val="006F6FC2"/>
    <w:rsid w:val="00703CC2"/>
    <w:rsid w:val="007129DB"/>
    <w:rsid w:val="0071767D"/>
    <w:rsid w:val="00733563"/>
    <w:rsid w:val="00733D59"/>
    <w:rsid w:val="00735E68"/>
    <w:rsid w:val="00742734"/>
    <w:rsid w:val="007524C4"/>
    <w:rsid w:val="00752762"/>
    <w:rsid w:val="0076569B"/>
    <w:rsid w:val="007723DD"/>
    <w:rsid w:val="00791DCC"/>
    <w:rsid w:val="00794433"/>
    <w:rsid w:val="007B1465"/>
    <w:rsid w:val="007B7A88"/>
    <w:rsid w:val="007C0F57"/>
    <w:rsid w:val="007C3B4F"/>
    <w:rsid w:val="007D0667"/>
    <w:rsid w:val="007D4FF5"/>
    <w:rsid w:val="007D757F"/>
    <w:rsid w:val="007E079F"/>
    <w:rsid w:val="007E14DB"/>
    <w:rsid w:val="007E6E34"/>
    <w:rsid w:val="008028BF"/>
    <w:rsid w:val="008033C3"/>
    <w:rsid w:val="008310ED"/>
    <w:rsid w:val="0084262C"/>
    <w:rsid w:val="0085207D"/>
    <w:rsid w:val="00854DC8"/>
    <w:rsid w:val="00863BF0"/>
    <w:rsid w:val="00870163"/>
    <w:rsid w:val="008703D4"/>
    <w:rsid w:val="008740FA"/>
    <w:rsid w:val="00881E7D"/>
    <w:rsid w:val="00883141"/>
    <w:rsid w:val="008857AE"/>
    <w:rsid w:val="008867A8"/>
    <w:rsid w:val="00886C5F"/>
    <w:rsid w:val="00892C00"/>
    <w:rsid w:val="008A4D94"/>
    <w:rsid w:val="008A5331"/>
    <w:rsid w:val="008B7AF6"/>
    <w:rsid w:val="008D538D"/>
    <w:rsid w:val="008E0B9D"/>
    <w:rsid w:val="008E2C79"/>
    <w:rsid w:val="008F2F78"/>
    <w:rsid w:val="00904A59"/>
    <w:rsid w:val="00905BF2"/>
    <w:rsid w:val="00927BFD"/>
    <w:rsid w:val="00930B6C"/>
    <w:rsid w:val="00937721"/>
    <w:rsid w:val="0095121F"/>
    <w:rsid w:val="0096409F"/>
    <w:rsid w:val="009677C7"/>
    <w:rsid w:val="00971425"/>
    <w:rsid w:val="00972BC3"/>
    <w:rsid w:val="0097361D"/>
    <w:rsid w:val="009813E1"/>
    <w:rsid w:val="0099632D"/>
    <w:rsid w:val="009A01D3"/>
    <w:rsid w:val="009A6654"/>
    <w:rsid w:val="009C0C1D"/>
    <w:rsid w:val="009C4253"/>
    <w:rsid w:val="009C59BE"/>
    <w:rsid w:val="009D1B58"/>
    <w:rsid w:val="009D5651"/>
    <w:rsid w:val="00A0752F"/>
    <w:rsid w:val="00A13944"/>
    <w:rsid w:val="00A24473"/>
    <w:rsid w:val="00A36882"/>
    <w:rsid w:val="00A37C82"/>
    <w:rsid w:val="00A4098F"/>
    <w:rsid w:val="00A5681A"/>
    <w:rsid w:val="00A7212B"/>
    <w:rsid w:val="00A732C8"/>
    <w:rsid w:val="00A75C24"/>
    <w:rsid w:val="00A91165"/>
    <w:rsid w:val="00A953EA"/>
    <w:rsid w:val="00A956C2"/>
    <w:rsid w:val="00AA14AC"/>
    <w:rsid w:val="00AA5125"/>
    <w:rsid w:val="00AA6DE6"/>
    <w:rsid w:val="00AB26B9"/>
    <w:rsid w:val="00AB507D"/>
    <w:rsid w:val="00AD0B7E"/>
    <w:rsid w:val="00AD60B9"/>
    <w:rsid w:val="00AD6BDA"/>
    <w:rsid w:val="00AE2EBF"/>
    <w:rsid w:val="00AE572F"/>
    <w:rsid w:val="00AF1F0A"/>
    <w:rsid w:val="00AF7766"/>
    <w:rsid w:val="00B03B96"/>
    <w:rsid w:val="00B14CDF"/>
    <w:rsid w:val="00B159D9"/>
    <w:rsid w:val="00B30627"/>
    <w:rsid w:val="00B36CE6"/>
    <w:rsid w:val="00B37035"/>
    <w:rsid w:val="00B470E2"/>
    <w:rsid w:val="00B510CD"/>
    <w:rsid w:val="00B52A4A"/>
    <w:rsid w:val="00B72C0F"/>
    <w:rsid w:val="00B92771"/>
    <w:rsid w:val="00B936EE"/>
    <w:rsid w:val="00B93F8D"/>
    <w:rsid w:val="00BA0216"/>
    <w:rsid w:val="00BA3F12"/>
    <w:rsid w:val="00BA60A9"/>
    <w:rsid w:val="00BB082D"/>
    <w:rsid w:val="00BB0E0E"/>
    <w:rsid w:val="00BB402B"/>
    <w:rsid w:val="00BC4CC9"/>
    <w:rsid w:val="00BD02CA"/>
    <w:rsid w:val="00BD435D"/>
    <w:rsid w:val="00BE0A14"/>
    <w:rsid w:val="00BE270B"/>
    <w:rsid w:val="00BE661A"/>
    <w:rsid w:val="00BF5FE1"/>
    <w:rsid w:val="00BF7315"/>
    <w:rsid w:val="00C065D6"/>
    <w:rsid w:val="00C11DED"/>
    <w:rsid w:val="00C1582A"/>
    <w:rsid w:val="00C16EFA"/>
    <w:rsid w:val="00C236E6"/>
    <w:rsid w:val="00C27F79"/>
    <w:rsid w:val="00C3293F"/>
    <w:rsid w:val="00C561DC"/>
    <w:rsid w:val="00C62867"/>
    <w:rsid w:val="00C65678"/>
    <w:rsid w:val="00C733F1"/>
    <w:rsid w:val="00C7422B"/>
    <w:rsid w:val="00C7441F"/>
    <w:rsid w:val="00C862FF"/>
    <w:rsid w:val="00C97305"/>
    <w:rsid w:val="00CB1D78"/>
    <w:rsid w:val="00CB6909"/>
    <w:rsid w:val="00CB772E"/>
    <w:rsid w:val="00CB7928"/>
    <w:rsid w:val="00CC3383"/>
    <w:rsid w:val="00CE254E"/>
    <w:rsid w:val="00CE6972"/>
    <w:rsid w:val="00CE7CE1"/>
    <w:rsid w:val="00D03D0E"/>
    <w:rsid w:val="00D03D99"/>
    <w:rsid w:val="00D130AC"/>
    <w:rsid w:val="00D2167A"/>
    <w:rsid w:val="00D32171"/>
    <w:rsid w:val="00D34337"/>
    <w:rsid w:val="00D36400"/>
    <w:rsid w:val="00D36BD4"/>
    <w:rsid w:val="00D44640"/>
    <w:rsid w:val="00D53AA8"/>
    <w:rsid w:val="00D55AA1"/>
    <w:rsid w:val="00D55B15"/>
    <w:rsid w:val="00D575C4"/>
    <w:rsid w:val="00D611C2"/>
    <w:rsid w:val="00D61B34"/>
    <w:rsid w:val="00D70F0E"/>
    <w:rsid w:val="00D715BA"/>
    <w:rsid w:val="00D95299"/>
    <w:rsid w:val="00DA09AF"/>
    <w:rsid w:val="00DA444C"/>
    <w:rsid w:val="00DB069D"/>
    <w:rsid w:val="00DB43CB"/>
    <w:rsid w:val="00DB5F2B"/>
    <w:rsid w:val="00DB6DC5"/>
    <w:rsid w:val="00DB765E"/>
    <w:rsid w:val="00DD091B"/>
    <w:rsid w:val="00DD2BDD"/>
    <w:rsid w:val="00DD355D"/>
    <w:rsid w:val="00DE20D8"/>
    <w:rsid w:val="00DE7FD0"/>
    <w:rsid w:val="00DF0473"/>
    <w:rsid w:val="00DF0B5B"/>
    <w:rsid w:val="00DF449C"/>
    <w:rsid w:val="00E027EA"/>
    <w:rsid w:val="00E07444"/>
    <w:rsid w:val="00E20783"/>
    <w:rsid w:val="00E24010"/>
    <w:rsid w:val="00E25255"/>
    <w:rsid w:val="00E312E1"/>
    <w:rsid w:val="00E4137D"/>
    <w:rsid w:val="00E43462"/>
    <w:rsid w:val="00E45CD3"/>
    <w:rsid w:val="00E50241"/>
    <w:rsid w:val="00E505A0"/>
    <w:rsid w:val="00E50FE2"/>
    <w:rsid w:val="00E53631"/>
    <w:rsid w:val="00E62B8D"/>
    <w:rsid w:val="00E7036D"/>
    <w:rsid w:val="00E721D3"/>
    <w:rsid w:val="00E74739"/>
    <w:rsid w:val="00E87026"/>
    <w:rsid w:val="00EA1941"/>
    <w:rsid w:val="00EA4369"/>
    <w:rsid w:val="00EA66A3"/>
    <w:rsid w:val="00EA6CB0"/>
    <w:rsid w:val="00EB3BC2"/>
    <w:rsid w:val="00EC1A29"/>
    <w:rsid w:val="00EC3E45"/>
    <w:rsid w:val="00EC548C"/>
    <w:rsid w:val="00ED2C5A"/>
    <w:rsid w:val="00EE5D6F"/>
    <w:rsid w:val="00EF7578"/>
    <w:rsid w:val="00F14726"/>
    <w:rsid w:val="00F261B5"/>
    <w:rsid w:val="00F40411"/>
    <w:rsid w:val="00F46445"/>
    <w:rsid w:val="00F47805"/>
    <w:rsid w:val="00F531D7"/>
    <w:rsid w:val="00F617E6"/>
    <w:rsid w:val="00F62B74"/>
    <w:rsid w:val="00F71FF1"/>
    <w:rsid w:val="00F75127"/>
    <w:rsid w:val="00F86CE5"/>
    <w:rsid w:val="00F86D4F"/>
    <w:rsid w:val="00F87E71"/>
    <w:rsid w:val="00F92925"/>
    <w:rsid w:val="00F9741D"/>
    <w:rsid w:val="00FA4D8E"/>
    <w:rsid w:val="00FA64C6"/>
    <w:rsid w:val="00FB02EE"/>
    <w:rsid w:val="00FB4BAA"/>
    <w:rsid w:val="00FC0E50"/>
    <w:rsid w:val="00FC4AA5"/>
    <w:rsid w:val="00FD03C4"/>
    <w:rsid w:val="00FD6E76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EE"/>
  </w:style>
  <w:style w:type="paragraph" w:styleId="Stopka">
    <w:name w:val="footer"/>
    <w:basedOn w:val="Normalny"/>
    <w:link w:val="Stopka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EE"/>
  </w:style>
  <w:style w:type="paragraph" w:styleId="Podtytu">
    <w:name w:val="Subtitle"/>
    <w:basedOn w:val="Normalny"/>
    <w:next w:val="Normalny"/>
    <w:link w:val="PodtytuZnak"/>
    <w:uiPriority w:val="11"/>
    <w:qFormat/>
    <w:rsid w:val="00466F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6F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EE"/>
  </w:style>
  <w:style w:type="paragraph" w:styleId="Stopka">
    <w:name w:val="footer"/>
    <w:basedOn w:val="Normalny"/>
    <w:link w:val="Stopka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EE"/>
  </w:style>
  <w:style w:type="paragraph" w:styleId="Podtytu">
    <w:name w:val="Subtitle"/>
    <w:basedOn w:val="Normalny"/>
    <w:next w:val="Normalny"/>
    <w:link w:val="PodtytuZnak"/>
    <w:uiPriority w:val="11"/>
    <w:qFormat/>
    <w:rsid w:val="00466F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6F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zecznictwo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109F-FB57-49B9-9F03-87C6F295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15</Pages>
  <Words>5286</Words>
  <Characters>31718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Greń Andrzej</dc:creator>
  <cp:lastModifiedBy>Magdalena Iłowska</cp:lastModifiedBy>
  <cp:revision>8</cp:revision>
  <cp:lastPrinted>2020-10-07T06:04:00Z</cp:lastPrinted>
  <dcterms:created xsi:type="dcterms:W3CDTF">2020-09-29T08:13:00Z</dcterms:created>
  <dcterms:modified xsi:type="dcterms:W3CDTF">2020-10-07T10:26:00Z</dcterms:modified>
</cp:coreProperties>
</file>